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20" w:before="120" w:lineRule="auto"/>
        <w:jc w:val="both"/>
        <w:rPr>
          <w:color w:val="000000"/>
          <w:sz w:val="22"/>
          <w:szCs w:val="22"/>
        </w:rPr>
      </w:pPr>
      <w:r w:rsidDel="00000000" w:rsidR="00000000" w:rsidRPr="00000000">
        <w:rPr>
          <w:sz w:val="22"/>
          <w:szCs w:val="22"/>
          <w:rtl w:val="0"/>
        </w:rPr>
        <w:tab/>
      </w:r>
      <w:r w:rsidDel="00000000" w:rsidR="00000000" w:rsidRPr="00000000">
        <w:rPr>
          <w:rtl w:val="0"/>
        </w:rPr>
      </w:r>
    </w:p>
    <w:p w:rsidR="00000000" w:rsidDel="00000000" w:rsidP="00000000" w:rsidRDefault="00000000" w:rsidRPr="00000000" w14:paraId="00000002">
      <w:pPr>
        <w:pStyle w:val="Heading1"/>
        <w:spacing w:before="0" w:lineRule="auto"/>
        <w:jc w:val="center"/>
        <w:rPr/>
      </w:pPr>
      <w:r w:rsidDel="00000000" w:rsidR="00000000" w:rsidRPr="00000000">
        <w:rPr>
          <w:rtl w:val="0"/>
        </w:rPr>
        <w:t xml:space="preserve">RÉgimen de aranceles – MaEER</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20" w:before="120" w:lineRule="auto"/>
        <w:jc w:val="both"/>
        <w:rPr>
          <w:color w:val="000000"/>
          <w:sz w:val="22"/>
          <w:szCs w:val="22"/>
        </w:rPr>
      </w:pPr>
      <w:r w:rsidDel="00000000" w:rsidR="00000000" w:rsidRPr="00000000">
        <w:rPr>
          <w:color w:val="000000"/>
          <w:sz w:val="22"/>
          <w:szCs w:val="22"/>
          <w:rtl w:val="0"/>
        </w:rPr>
        <w:t xml:space="preserve">El presente documento establece las consideraciones sobre el pago de la matrícula inicial y el arancel de la Maestría en Energía Eléctrica Renovable (MaEER) a ser abonados por los </w:t>
      </w:r>
      <w:r w:rsidDel="00000000" w:rsidR="00000000" w:rsidRPr="00000000">
        <w:rPr>
          <w:sz w:val="22"/>
          <w:szCs w:val="22"/>
          <w:rtl w:val="0"/>
        </w:rPr>
        <w:t xml:space="preserve">estudiantes</w:t>
      </w:r>
      <w:r w:rsidDel="00000000" w:rsidR="00000000" w:rsidRPr="00000000">
        <w:rPr>
          <w:color w:val="000000"/>
          <w:sz w:val="22"/>
          <w:szCs w:val="22"/>
          <w:rtl w:val="0"/>
        </w:rPr>
        <w:t xml:space="preserve">. Este documento debe ser leído y firmado por los interesados al momento de realizar la inscripción.</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20" w:before="120" w:lineRule="auto"/>
        <w:jc w:val="both"/>
        <w:rPr>
          <w:color w:val="000000"/>
          <w:sz w:val="22"/>
          <w:szCs w:val="22"/>
        </w:rPr>
      </w:pPr>
      <w:r w:rsidDel="00000000" w:rsidR="00000000" w:rsidRPr="00000000">
        <w:rPr>
          <w:rtl w:val="0"/>
        </w:rPr>
      </w:r>
    </w:p>
    <w:p w:rsidR="00000000" w:rsidDel="00000000" w:rsidP="00000000" w:rsidRDefault="00000000" w:rsidRPr="00000000" w14:paraId="00000005">
      <w:pPr>
        <w:keepLines w:val="1"/>
        <w:pBdr>
          <w:top w:space="0" w:sz="0" w:val="nil"/>
          <w:left w:space="0" w:sz="0" w:val="nil"/>
          <w:bottom w:space="0" w:sz="0" w:val="nil"/>
          <w:right w:space="0" w:sz="0" w:val="nil"/>
          <w:between w:space="0" w:sz="0" w:val="nil"/>
        </w:pBdr>
        <w:spacing w:after="120" w:before="120" w:lineRule="auto"/>
        <w:jc w:val="both"/>
        <w:rPr>
          <w:color w:val="000000"/>
          <w:sz w:val="22"/>
          <w:szCs w:val="22"/>
        </w:rPr>
      </w:pPr>
      <w:r w:rsidDel="00000000" w:rsidR="00000000" w:rsidRPr="00000000">
        <w:rPr>
          <w:b w:val="1"/>
          <w:color w:val="000000"/>
          <w:sz w:val="22"/>
          <w:szCs w:val="22"/>
          <w:rtl w:val="0"/>
        </w:rPr>
        <w:t xml:space="preserve">Artículo 1º:</w:t>
      </w:r>
      <w:r w:rsidDel="00000000" w:rsidR="00000000" w:rsidRPr="00000000">
        <w:rPr>
          <w:color w:val="000000"/>
          <w:sz w:val="22"/>
          <w:szCs w:val="22"/>
          <w:rtl w:val="0"/>
        </w:rPr>
        <w:t xml:space="preserve"> Todo interesado en realizar la MaEER requiere el pago de una </w:t>
      </w:r>
      <w:r w:rsidDel="00000000" w:rsidR="00000000" w:rsidRPr="00000000">
        <w:rPr>
          <w:i w:val="1"/>
          <w:color w:val="000000"/>
          <w:sz w:val="22"/>
          <w:szCs w:val="22"/>
          <w:rtl w:val="0"/>
        </w:rPr>
        <w:t xml:space="preserve">matrícula inicial</w:t>
      </w:r>
      <w:r w:rsidDel="00000000" w:rsidR="00000000" w:rsidRPr="00000000">
        <w:rPr>
          <w:color w:val="000000"/>
          <w:sz w:val="22"/>
          <w:szCs w:val="22"/>
          <w:rtl w:val="0"/>
        </w:rPr>
        <w:t xml:space="preserve"> la cual deberá abonar en efectivo antes del inicio de la actividad. El pago del importe establecido en concepto de matrícula, más el cumplimiento de los requisitos de ingreso mencionados en el documento “Reglamento de Inscripción”, le otorgará la calidad de alumno de la MaEER.</w:t>
      </w:r>
    </w:p>
    <w:p w:rsidR="00000000" w:rsidDel="00000000" w:rsidP="00000000" w:rsidRDefault="00000000" w:rsidRPr="00000000" w14:paraId="00000006">
      <w:pPr>
        <w:keepLines w:val="1"/>
        <w:pBdr>
          <w:top w:space="0" w:sz="0" w:val="nil"/>
          <w:left w:space="0" w:sz="0" w:val="nil"/>
          <w:bottom w:space="0" w:sz="0" w:val="nil"/>
          <w:right w:space="0" w:sz="0" w:val="nil"/>
          <w:between w:space="0" w:sz="0" w:val="nil"/>
        </w:pBdr>
        <w:spacing w:after="120" w:before="120" w:lineRule="auto"/>
        <w:jc w:val="both"/>
        <w:rPr>
          <w:color w:val="000000"/>
          <w:sz w:val="22"/>
          <w:szCs w:val="22"/>
        </w:rPr>
      </w:pPr>
      <w:r w:rsidDel="00000000" w:rsidR="00000000" w:rsidRPr="00000000">
        <w:rPr>
          <w:rtl w:val="0"/>
        </w:rPr>
      </w:r>
    </w:p>
    <w:p w:rsidR="00000000" w:rsidDel="00000000" w:rsidP="00000000" w:rsidRDefault="00000000" w:rsidRPr="00000000" w14:paraId="00000007">
      <w:pPr>
        <w:keepLines w:val="1"/>
        <w:pBdr>
          <w:top w:space="0" w:sz="0" w:val="nil"/>
          <w:left w:space="0" w:sz="0" w:val="nil"/>
          <w:bottom w:space="0" w:sz="0" w:val="nil"/>
          <w:right w:space="0" w:sz="0" w:val="nil"/>
          <w:between w:space="0" w:sz="0" w:val="nil"/>
        </w:pBdr>
        <w:spacing w:after="120" w:before="120" w:lineRule="auto"/>
        <w:jc w:val="both"/>
        <w:rPr>
          <w:color w:val="000000"/>
          <w:sz w:val="22"/>
          <w:szCs w:val="22"/>
        </w:rPr>
      </w:pPr>
      <w:r w:rsidDel="00000000" w:rsidR="00000000" w:rsidRPr="00000000">
        <w:rPr>
          <w:b w:val="1"/>
          <w:color w:val="000000"/>
          <w:sz w:val="22"/>
          <w:szCs w:val="22"/>
          <w:rtl w:val="0"/>
        </w:rPr>
        <w:t xml:space="preserve">Artículo 2º:</w:t>
      </w:r>
      <w:r w:rsidDel="00000000" w:rsidR="00000000" w:rsidRPr="00000000">
        <w:rPr>
          <w:color w:val="000000"/>
          <w:sz w:val="22"/>
          <w:szCs w:val="22"/>
          <w:rtl w:val="0"/>
        </w:rPr>
        <w:t xml:space="preserve"> La </w:t>
      </w:r>
      <w:r w:rsidDel="00000000" w:rsidR="00000000" w:rsidRPr="00000000">
        <w:rPr>
          <w:i w:val="1"/>
          <w:color w:val="000000"/>
          <w:sz w:val="22"/>
          <w:szCs w:val="22"/>
          <w:rtl w:val="0"/>
        </w:rPr>
        <w:t xml:space="preserve">matrícula inicial</w:t>
      </w:r>
      <w:r w:rsidDel="00000000" w:rsidR="00000000" w:rsidRPr="00000000">
        <w:rPr>
          <w:color w:val="000000"/>
          <w:sz w:val="22"/>
          <w:szCs w:val="22"/>
          <w:rtl w:val="0"/>
        </w:rPr>
        <w:t xml:space="preserve"> deberá ser abonada una única vez al comienzo del primer año de cursada. El segundo año no se debe abonar matrícula.</w:t>
      </w:r>
    </w:p>
    <w:p w:rsidR="00000000" w:rsidDel="00000000" w:rsidP="00000000" w:rsidRDefault="00000000" w:rsidRPr="00000000" w14:paraId="00000008">
      <w:pPr>
        <w:keepLines w:val="1"/>
        <w:pBdr>
          <w:top w:space="0" w:sz="0" w:val="nil"/>
          <w:left w:space="0" w:sz="0" w:val="nil"/>
          <w:bottom w:space="0" w:sz="0" w:val="nil"/>
          <w:right w:space="0" w:sz="0" w:val="nil"/>
          <w:between w:space="0" w:sz="0" w:val="nil"/>
        </w:pBdr>
        <w:spacing w:after="120" w:before="120" w:lineRule="auto"/>
        <w:jc w:val="both"/>
        <w:rPr>
          <w:color w:val="000000"/>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120" w:before="120" w:lineRule="auto"/>
        <w:jc w:val="both"/>
        <w:rPr>
          <w:color w:val="000000"/>
          <w:sz w:val="22"/>
          <w:szCs w:val="22"/>
        </w:rPr>
      </w:pPr>
      <w:r w:rsidDel="00000000" w:rsidR="00000000" w:rsidRPr="00000000">
        <w:rPr>
          <w:b w:val="1"/>
          <w:color w:val="000000"/>
          <w:sz w:val="22"/>
          <w:szCs w:val="22"/>
          <w:rtl w:val="0"/>
        </w:rPr>
        <w:t xml:space="preserve">Artículo 3º:</w:t>
      </w:r>
      <w:r w:rsidDel="00000000" w:rsidR="00000000" w:rsidRPr="00000000">
        <w:rPr>
          <w:color w:val="000000"/>
          <w:sz w:val="22"/>
          <w:szCs w:val="22"/>
          <w:rtl w:val="0"/>
        </w:rPr>
        <w:t xml:space="preserve"> La </w:t>
      </w:r>
      <w:r w:rsidDel="00000000" w:rsidR="00000000" w:rsidRPr="00000000">
        <w:rPr>
          <w:i w:val="1"/>
          <w:color w:val="000000"/>
          <w:sz w:val="22"/>
          <w:szCs w:val="22"/>
          <w:rtl w:val="0"/>
        </w:rPr>
        <w:t xml:space="preserve">matrícula inicial</w:t>
      </w:r>
      <w:r w:rsidDel="00000000" w:rsidR="00000000" w:rsidRPr="00000000">
        <w:rPr>
          <w:color w:val="000000"/>
          <w:sz w:val="22"/>
          <w:szCs w:val="22"/>
          <w:rtl w:val="0"/>
        </w:rPr>
        <w:t xml:space="preserve"> abonada, no será reintegrada, cualquiera sea la causa o circunstancia por las cuales el postulante no se incorpore al curso de Maestría donde realizó la inscripción, salvo la excepción planteada en el artículo 4º del presente régimen.</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20" w:before="120" w:lineRule="auto"/>
        <w:jc w:val="both"/>
        <w:rPr>
          <w:color w:val="000000"/>
          <w:sz w:val="22"/>
          <w:szCs w:val="22"/>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20" w:before="120" w:lineRule="auto"/>
        <w:jc w:val="both"/>
        <w:rPr>
          <w:color w:val="000000"/>
          <w:sz w:val="22"/>
          <w:szCs w:val="22"/>
        </w:rPr>
      </w:pPr>
      <w:r w:rsidDel="00000000" w:rsidR="00000000" w:rsidRPr="00000000">
        <w:rPr>
          <w:b w:val="1"/>
          <w:color w:val="000000"/>
          <w:sz w:val="22"/>
          <w:szCs w:val="22"/>
          <w:rtl w:val="0"/>
        </w:rPr>
        <w:t xml:space="preserve">Artículo 4º:</w:t>
      </w:r>
      <w:r w:rsidDel="00000000" w:rsidR="00000000" w:rsidRPr="00000000">
        <w:rPr>
          <w:color w:val="000000"/>
          <w:sz w:val="22"/>
          <w:szCs w:val="22"/>
          <w:rtl w:val="0"/>
        </w:rPr>
        <w:t xml:space="preserve"> Ante la eventualidad de no realizarse la MaEER en la cual se inscribió el postulante, se reintegrará a los inscriptos la totalidad del importe abonado en concepto de </w:t>
      </w:r>
      <w:r w:rsidDel="00000000" w:rsidR="00000000" w:rsidRPr="00000000">
        <w:rPr>
          <w:i w:val="1"/>
          <w:color w:val="000000"/>
          <w:sz w:val="22"/>
          <w:szCs w:val="22"/>
          <w:rtl w:val="0"/>
        </w:rPr>
        <w:t xml:space="preserve">matrícula inicial</w:t>
      </w:r>
      <w:r w:rsidDel="00000000" w:rsidR="00000000" w:rsidRPr="00000000">
        <w:rPr>
          <w:color w:val="000000"/>
          <w:sz w:val="22"/>
          <w:szCs w:val="22"/>
          <w:rtl w:val="0"/>
        </w:rPr>
        <w:t xml:space="preserve">.</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120" w:before="120" w:lineRule="auto"/>
        <w:jc w:val="both"/>
        <w:rPr>
          <w:color w:val="000000"/>
          <w:sz w:val="22"/>
          <w:szCs w:val="2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120" w:before="120" w:lineRule="auto"/>
        <w:jc w:val="both"/>
        <w:rPr>
          <w:color w:val="000000"/>
          <w:sz w:val="22"/>
          <w:szCs w:val="22"/>
        </w:rPr>
      </w:pPr>
      <w:r w:rsidDel="00000000" w:rsidR="00000000" w:rsidRPr="00000000">
        <w:rPr>
          <w:b w:val="1"/>
          <w:color w:val="000000"/>
          <w:sz w:val="22"/>
          <w:szCs w:val="22"/>
          <w:rtl w:val="0"/>
        </w:rPr>
        <w:t xml:space="preserve">Artículo 5º: </w:t>
      </w:r>
      <w:r w:rsidDel="00000000" w:rsidR="00000000" w:rsidRPr="00000000">
        <w:rPr>
          <w:color w:val="000000"/>
          <w:sz w:val="22"/>
          <w:szCs w:val="22"/>
          <w:rtl w:val="0"/>
        </w:rPr>
        <w:t xml:space="preserve">El</w:t>
      </w:r>
      <w:r w:rsidDel="00000000" w:rsidR="00000000" w:rsidRPr="00000000">
        <w:rPr>
          <w:i w:val="1"/>
          <w:color w:val="000000"/>
          <w:sz w:val="22"/>
          <w:szCs w:val="22"/>
          <w:rtl w:val="0"/>
        </w:rPr>
        <w:t xml:space="preserve"> arancel de la MaEER</w:t>
      </w:r>
      <w:r w:rsidDel="00000000" w:rsidR="00000000" w:rsidRPr="00000000">
        <w:rPr>
          <w:color w:val="000000"/>
          <w:sz w:val="22"/>
          <w:szCs w:val="22"/>
          <w:rtl w:val="0"/>
        </w:rPr>
        <w:t xml:space="preserve"> es la contribución proporcional que el alumno debe abonar durante el cursado del posgrado, para solventar el costo total de la actividad, pudiendo hacerlo en un pago o en cuotas mensuales. Se podrá abonar al contado o tarjeta de crédito o débito, según se disponga en cada caso.</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120" w:before="120" w:lineRule="auto"/>
        <w:jc w:val="both"/>
        <w:rPr>
          <w:b w:val="1"/>
          <w:color w:val="000000"/>
          <w:sz w:val="22"/>
          <w:szCs w:val="2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20" w:before="120" w:lineRule="auto"/>
        <w:jc w:val="both"/>
        <w:rPr>
          <w:color w:val="000000"/>
          <w:sz w:val="22"/>
          <w:szCs w:val="22"/>
        </w:rPr>
      </w:pPr>
      <w:r w:rsidDel="00000000" w:rsidR="00000000" w:rsidRPr="00000000">
        <w:rPr>
          <w:b w:val="1"/>
          <w:color w:val="000000"/>
          <w:sz w:val="22"/>
          <w:szCs w:val="22"/>
          <w:rtl w:val="0"/>
        </w:rPr>
        <w:t xml:space="preserve">Artículo 6º: </w:t>
      </w:r>
      <w:r w:rsidDel="00000000" w:rsidR="00000000" w:rsidRPr="00000000">
        <w:rPr>
          <w:color w:val="000000"/>
          <w:sz w:val="22"/>
          <w:szCs w:val="22"/>
          <w:rtl w:val="0"/>
        </w:rPr>
        <w:t xml:space="preserve">Se establecen en 18 la cantidad de cuotas mensuales que se deben abonar en calidad de arancel, 9 para el primer año de cursada y 9 para el segundo año.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before="120" w:lineRule="auto"/>
        <w:jc w:val="both"/>
        <w:rPr>
          <w:color w:val="000000"/>
          <w:sz w:val="22"/>
          <w:szCs w:val="2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before="120" w:lineRule="auto"/>
        <w:jc w:val="both"/>
        <w:rPr>
          <w:color w:val="000000"/>
          <w:sz w:val="22"/>
          <w:szCs w:val="22"/>
        </w:rPr>
      </w:pPr>
      <w:r w:rsidDel="00000000" w:rsidR="00000000" w:rsidRPr="00000000">
        <w:rPr>
          <w:b w:val="1"/>
          <w:color w:val="000000"/>
          <w:sz w:val="22"/>
          <w:szCs w:val="22"/>
          <w:rtl w:val="0"/>
        </w:rPr>
        <w:t xml:space="preserve">Artículo 7º: </w:t>
      </w:r>
      <w:r w:rsidDel="00000000" w:rsidR="00000000" w:rsidRPr="00000000">
        <w:rPr>
          <w:color w:val="000000"/>
          <w:sz w:val="22"/>
          <w:szCs w:val="22"/>
          <w:rtl w:val="0"/>
        </w:rPr>
        <w:t xml:space="preserve">Los valores de la </w:t>
      </w:r>
      <w:r w:rsidDel="00000000" w:rsidR="00000000" w:rsidRPr="00000000">
        <w:rPr>
          <w:i w:val="1"/>
          <w:color w:val="000000"/>
          <w:sz w:val="22"/>
          <w:szCs w:val="22"/>
          <w:rtl w:val="0"/>
        </w:rPr>
        <w:t xml:space="preserve">matrícula inicial</w:t>
      </w:r>
      <w:r w:rsidDel="00000000" w:rsidR="00000000" w:rsidRPr="00000000">
        <w:rPr>
          <w:color w:val="000000"/>
          <w:sz w:val="22"/>
          <w:szCs w:val="22"/>
          <w:rtl w:val="0"/>
        </w:rPr>
        <w:t xml:space="preserve"> y el </w:t>
      </w:r>
      <w:r w:rsidDel="00000000" w:rsidR="00000000" w:rsidRPr="00000000">
        <w:rPr>
          <w:i w:val="1"/>
          <w:color w:val="000000"/>
          <w:sz w:val="22"/>
          <w:szCs w:val="22"/>
          <w:rtl w:val="0"/>
        </w:rPr>
        <w:t xml:space="preserve">arancel de la MaEER</w:t>
      </w:r>
      <w:r w:rsidDel="00000000" w:rsidR="00000000" w:rsidRPr="00000000">
        <w:rPr>
          <w:color w:val="000000"/>
          <w:sz w:val="22"/>
          <w:szCs w:val="22"/>
          <w:rtl w:val="0"/>
        </w:rPr>
        <w:t xml:space="preserve"> serán debidamente informados al momento de abrir la inscripción de una nueva cohorte.</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before="120" w:lineRule="auto"/>
        <w:jc w:val="both"/>
        <w:rPr>
          <w:color w:val="000000"/>
          <w:sz w:val="22"/>
          <w:szCs w:val="2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before="120" w:lineRule="auto"/>
        <w:jc w:val="both"/>
        <w:rPr>
          <w:color w:val="000000"/>
          <w:sz w:val="22"/>
          <w:szCs w:val="22"/>
        </w:rPr>
      </w:pPr>
      <w:r w:rsidDel="00000000" w:rsidR="00000000" w:rsidRPr="00000000">
        <w:rPr>
          <w:b w:val="1"/>
          <w:color w:val="000000"/>
          <w:sz w:val="22"/>
          <w:szCs w:val="22"/>
          <w:rtl w:val="0"/>
        </w:rPr>
        <w:t xml:space="preserve">Artículo 8º:</w:t>
      </w:r>
      <w:r w:rsidDel="00000000" w:rsidR="00000000" w:rsidRPr="00000000">
        <w:rPr>
          <w:color w:val="000000"/>
          <w:sz w:val="22"/>
          <w:szCs w:val="22"/>
          <w:rtl w:val="0"/>
        </w:rPr>
        <w:t xml:space="preserve"> Si el alumno, habiendo abonado la totalidad del arancel por adelantado, abandona el cursado, tendrá derecho a completarlo, sin cargo alguno, en una cohorte inmediatamente posterior, si es que se dicta. Caso contrario no tendrá derecho a reclamo alguno.</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before="120" w:lineRule="auto"/>
        <w:jc w:val="both"/>
        <w:rPr>
          <w:color w:val="000000"/>
          <w:sz w:val="22"/>
          <w:szCs w:val="2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20" w:lineRule="auto"/>
        <w:jc w:val="both"/>
        <w:rPr>
          <w:color w:val="000000"/>
          <w:sz w:val="22"/>
          <w:szCs w:val="22"/>
        </w:rPr>
      </w:pPr>
      <w:r w:rsidDel="00000000" w:rsidR="00000000" w:rsidRPr="00000000">
        <w:rPr>
          <w:b w:val="1"/>
          <w:color w:val="000000"/>
          <w:sz w:val="22"/>
          <w:szCs w:val="22"/>
          <w:rtl w:val="0"/>
        </w:rPr>
        <w:t xml:space="preserve">Artículo 9º</w:t>
      </w:r>
      <w:r w:rsidDel="00000000" w:rsidR="00000000" w:rsidRPr="00000000">
        <w:rPr>
          <w:color w:val="000000"/>
          <w:sz w:val="22"/>
          <w:szCs w:val="22"/>
          <w:rtl w:val="0"/>
        </w:rPr>
        <w:t xml:space="preserve">: Si el alumno habiendo abandonado el cursado, con posterioridad solicita continuarlo, se determinará qué porcentaje del total había cancelado. La proporción no cancelada se aplicará al arancel vigente al momento de retomar el cursado, siendo el importe resultante la suma a abonar para completar la actividad, la que deberá cancelar conforme la forma de pago dispuesta para dicha cohorte.</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20" w:lineRule="auto"/>
        <w:jc w:val="both"/>
        <w:rPr>
          <w:color w:val="000000"/>
          <w:sz w:val="22"/>
          <w:szCs w:val="22"/>
        </w:rPr>
      </w:pPr>
      <w:r w:rsidDel="00000000" w:rsidR="00000000" w:rsidRPr="00000000">
        <w:rPr>
          <w:rtl w:val="0"/>
        </w:rPr>
      </w:r>
    </w:p>
    <w:p w:rsidR="00000000" w:rsidDel="00000000" w:rsidP="00000000" w:rsidRDefault="00000000" w:rsidRPr="00000000" w14:paraId="00000017">
      <w:pPr>
        <w:keepLines w:val="1"/>
        <w:pBdr>
          <w:top w:space="0" w:sz="0" w:val="nil"/>
          <w:left w:space="0" w:sz="0" w:val="nil"/>
          <w:bottom w:space="0" w:sz="0" w:val="nil"/>
          <w:right w:space="0" w:sz="0" w:val="nil"/>
          <w:between w:space="0" w:sz="0" w:val="nil"/>
        </w:pBdr>
        <w:spacing w:after="120" w:before="120" w:lineRule="auto"/>
        <w:jc w:val="both"/>
        <w:rPr>
          <w:color w:val="000000"/>
          <w:sz w:val="22"/>
          <w:szCs w:val="22"/>
        </w:rPr>
      </w:pPr>
      <w:r w:rsidDel="00000000" w:rsidR="00000000" w:rsidRPr="00000000">
        <w:rPr>
          <w:b w:val="1"/>
          <w:color w:val="000000"/>
          <w:sz w:val="22"/>
          <w:szCs w:val="22"/>
          <w:rtl w:val="0"/>
        </w:rPr>
        <w:t xml:space="preserve">Artículo 10º:</w:t>
      </w:r>
      <w:r w:rsidDel="00000000" w:rsidR="00000000" w:rsidRPr="00000000">
        <w:rPr>
          <w:color w:val="000000"/>
          <w:sz w:val="22"/>
          <w:szCs w:val="22"/>
          <w:rtl w:val="0"/>
        </w:rPr>
        <w:t xml:space="preserve"> Cuando se hubiera establecido el pago del arancel en cuotas mensuales, el vencimiento operará el día 10 de cada mes o día hábil inmediato posterior, en caso de caer en día feriado o no laborable.</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20" w:lineRule="auto"/>
        <w:jc w:val="both"/>
        <w:rPr>
          <w:color w:val="000000"/>
          <w:sz w:val="22"/>
          <w:szCs w:val="22"/>
        </w:rPr>
      </w:pPr>
      <w:r w:rsidDel="00000000" w:rsidR="00000000" w:rsidRPr="00000000">
        <w:rPr>
          <w:color w:val="000000"/>
          <w:sz w:val="22"/>
          <w:szCs w:val="22"/>
          <w:rtl w:val="0"/>
        </w:rPr>
        <w:t xml:space="preserve">Vencido dicho plazo, queda configurada la mora y se procederá a aplicar un interés resarcitorio, a cuyo fin se aplicará la Tasa Pasiva del Banco de la Nación Argentina para plazo fijo a 30 días, vigente al día anterior al de efectivo pago.</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20" w:lineRule="auto"/>
        <w:jc w:val="both"/>
        <w:rPr>
          <w:color w:val="000000"/>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before="120" w:lineRule="auto"/>
        <w:jc w:val="both"/>
        <w:rPr>
          <w:color w:val="000000"/>
          <w:sz w:val="22"/>
          <w:szCs w:val="22"/>
        </w:rPr>
      </w:pPr>
      <w:r w:rsidDel="00000000" w:rsidR="00000000" w:rsidRPr="00000000">
        <w:rPr>
          <w:b w:val="1"/>
          <w:color w:val="000000"/>
          <w:sz w:val="22"/>
          <w:szCs w:val="22"/>
          <w:rtl w:val="0"/>
        </w:rPr>
        <w:t xml:space="preserve">Artículo 11º:</w:t>
      </w:r>
      <w:r w:rsidDel="00000000" w:rsidR="00000000" w:rsidRPr="00000000">
        <w:rPr>
          <w:color w:val="000000"/>
          <w:sz w:val="22"/>
          <w:szCs w:val="22"/>
          <w:rtl w:val="0"/>
        </w:rPr>
        <w:t xml:space="preserve"> Los vencimientos que entren en mora, podrán regularizarse mediante la firma de un    reconocimiento de deuda y convenio de pago, que incluirá las sumas no abonadas más los intereses resarcitorios devengados hasta la fecha de la firma del mismo.</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before="120" w:lineRule="auto"/>
        <w:jc w:val="both"/>
        <w:rPr>
          <w:color w:val="000000"/>
          <w:sz w:val="22"/>
          <w:szCs w:val="22"/>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before="120" w:lineRule="auto"/>
        <w:jc w:val="both"/>
        <w:rPr>
          <w:color w:val="000000"/>
          <w:sz w:val="22"/>
          <w:szCs w:val="22"/>
        </w:rPr>
      </w:pPr>
      <w:r w:rsidDel="00000000" w:rsidR="00000000" w:rsidRPr="00000000">
        <w:rPr>
          <w:b w:val="1"/>
          <w:color w:val="000000"/>
          <w:sz w:val="22"/>
          <w:szCs w:val="22"/>
          <w:rtl w:val="0"/>
        </w:rPr>
        <w:t xml:space="preserve">Artículo 12º:</w:t>
      </w:r>
      <w:r w:rsidDel="00000000" w:rsidR="00000000" w:rsidRPr="00000000">
        <w:rPr>
          <w:color w:val="000000"/>
          <w:sz w:val="22"/>
          <w:szCs w:val="22"/>
          <w:rtl w:val="0"/>
        </w:rPr>
        <w:t xml:space="preserve"> Aquellos alumnos que adeuden 2 (dos) o más cuotas mensuales, no podrán, hasta que sean regularizadas:</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120" w:before="120" w:lineRule="auto"/>
        <w:ind w:left="720" w:hanging="360"/>
        <w:jc w:val="both"/>
        <w:rPr/>
      </w:pPr>
      <w:r w:rsidDel="00000000" w:rsidR="00000000" w:rsidRPr="00000000">
        <w:rPr>
          <w:color w:val="000000"/>
          <w:sz w:val="22"/>
          <w:szCs w:val="22"/>
          <w:rtl w:val="0"/>
        </w:rPr>
        <w:t xml:space="preserve">solicitar constancia o certificación alguna vinculada con la actividad;</w:t>
      </w: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120" w:before="120" w:lineRule="auto"/>
        <w:ind w:left="720" w:hanging="360"/>
        <w:jc w:val="both"/>
        <w:rPr/>
      </w:pPr>
      <w:r w:rsidDel="00000000" w:rsidR="00000000" w:rsidRPr="00000000">
        <w:rPr>
          <w:color w:val="000000"/>
          <w:sz w:val="22"/>
          <w:szCs w:val="22"/>
          <w:rtl w:val="0"/>
        </w:rPr>
        <w:t xml:space="preserve">ser evaluado en las respectivas asignaturas, módulos o actividades;</w:t>
      </w: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120" w:before="120" w:lineRule="auto"/>
        <w:ind w:left="720" w:hanging="360"/>
        <w:jc w:val="both"/>
        <w:rPr/>
      </w:pPr>
      <w:r w:rsidDel="00000000" w:rsidR="00000000" w:rsidRPr="00000000">
        <w:rPr>
          <w:color w:val="000000"/>
          <w:sz w:val="22"/>
          <w:szCs w:val="22"/>
          <w:rtl w:val="0"/>
        </w:rPr>
        <w:t xml:space="preserve">iniciar el cursado del siguiente curso de la carrera;</w:t>
      </w: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120" w:before="120" w:lineRule="auto"/>
        <w:ind w:left="720" w:hanging="360"/>
        <w:jc w:val="both"/>
        <w:rPr/>
      </w:pPr>
      <w:r w:rsidDel="00000000" w:rsidR="00000000" w:rsidRPr="00000000">
        <w:rPr>
          <w:color w:val="000000"/>
          <w:sz w:val="22"/>
          <w:szCs w:val="22"/>
          <w:rtl w:val="0"/>
        </w:rPr>
        <w:t xml:space="preserve">disponer de asistencia tutorial para el trabajo de tesis;</w:t>
      </w: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120" w:before="120" w:lineRule="auto"/>
        <w:ind w:left="720" w:hanging="360"/>
        <w:jc w:val="both"/>
        <w:rPr/>
      </w:pPr>
      <w:r w:rsidDel="00000000" w:rsidR="00000000" w:rsidRPr="00000000">
        <w:rPr>
          <w:color w:val="000000"/>
          <w:sz w:val="22"/>
          <w:szCs w:val="22"/>
          <w:rtl w:val="0"/>
        </w:rPr>
        <w:t xml:space="preserve">iniciar el trámite de obtención del diploma;</w:t>
      </w:r>
      <w:r w:rsidDel="00000000" w:rsidR="00000000" w:rsidRPr="00000000">
        <w:rPr>
          <w:rtl w:val="0"/>
        </w:rPr>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after="120" w:before="120" w:lineRule="auto"/>
        <w:ind w:left="720" w:hanging="360"/>
        <w:jc w:val="both"/>
        <w:rPr/>
      </w:pPr>
      <w:r w:rsidDel="00000000" w:rsidR="00000000" w:rsidRPr="00000000">
        <w:rPr>
          <w:color w:val="000000"/>
          <w:sz w:val="22"/>
          <w:szCs w:val="22"/>
          <w:rtl w:val="0"/>
        </w:rPr>
        <w:t xml:space="preserve">acceder al Campus de Facultad de Ingeniería.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20" w:before="120" w:lineRule="auto"/>
        <w:jc w:val="both"/>
        <w:rPr>
          <w:color w:val="000000"/>
          <w:sz w:val="22"/>
          <w:szCs w:val="22"/>
        </w:rPr>
      </w:pPr>
      <w:r w:rsidDel="00000000" w:rsidR="00000000" w:rsidRPr="00000000">
        <w:rPr>
          <w:color w:val="000000"/>
          <w:sz w:val="22"/>
          <w:szCs w:val="22"/>
          <w:rtl w:val="0"/>
        </w:rPr>
        <w:t xml:space="preserve">Estas medidas restrictivas cesarán al momento en que el interesado regularice el pago de los importes adeudados.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20" w:before="120" w:lineRule="auto"/>
        <w:jc w:val="both"/>
        <w:rPr>
          <w:color w:val="000000"/>
          <w:sz w:val="22"/>
          <w:szCs w:val="2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120" w:before="120" w:lineRule="auto"/>
        <w:jc w:val="both"/>
        <w:rPr>
          <w:color w:val="000000"/>
          <w:sz w:val="22"/>
          <w:szCs w:val="22"/>
        </w:rPr>
      </w:pPr>
      <w:r w:rsidDel="00000000" w:rsidR="00000000" w:rsidRPr="00000000">
        <w:rPr>
          <w:b w:val="1"/>
          <w:color w:val="000000"/>
          <w:sz w:val="22"/>
          <w:szCs w:val="22"/>
          <w:rtl w:val="0"/>
        </w:rPr>
        <w:t xml:space="preserve">Artículo 13º:</w:t>
      </w:r>
      <w:r w:rsidDel="00000000" w:rsidR="00000000" w:rsidRPr="00000000">
        <w:rPr>
          <w:color w:val="000000"/>
          <w:sz w:val="22"/>
          <w:szCs w:val="22"/>
          <w:rtl w:val="0"/>
        </w:rPr>
        <w:t xml:space="preserve"> Para exigir la cancelación de las sumas adeudadas en concepto de aranceles de actividades de posgrado, la Facultad de Ingeniería deberá intimar en forma fehaciente el pago de las mismas. De no producirse la regularización del estado de mora mediante pago contado o a través de un convenio, la Universidad Nacional de Mar del Plata podrá promover juicio ejecutivo, por vía de la Justicia Federal.</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20" w:before="120" w:lineRule="auto"/>
        <w:jc w:val="both"/>
        <w:rPr>
          <w:color w:val="000000"/>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before="120" w:lineRule="auto"/>
        <w:jc w:val="both"/>
        <w:rPr>
          <w:color w:val="000000"/>
          <w:sz w:val="22"/>
          <w:szCs w:val="22"/>
        </w:rPr>
      </w:pPr>
      <w:r w:rsidDel="00000000" w:rsidR="00000000" w:rsidRPr="00000000">
        <w:rPr>
          <w:b w:val="1"/>
          <w:color w:val="000000"/>
          <w:sz w:val="22"/>
          <w:szCs w:val="22"/>
          <w:rtl w:val="0"/>
        </w:rPr>
        <w:t xml:space="preserve">Artículo 14º: </w:t>
      </w:r>
      <w:r w:rsidDel="00000000" w:rsidR="00000000" w:rsidRPr="00000000">
        <w:rPr>
          <w:color w:val="000000"/>
          <w:sz w:val="22"/>
          <w:szCs w:val="22"/>
          <w:rtl w:val="0"/>
        </w:rPr>
        <w:t xml:space="preserve">De presentarse situaciones no contempladas en el presente régimen, será el Comité Académico de la MaEER el órgano competente para resolverlas.</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before="120" w:lineRule="auto"/>
        <w:jc w:val="both"/>
        <w:rPr>
          <w:color w:val="000000"/>
          <w:sz w:val="22"/>
          <w:szCs w:val="22"/>
        </w:rPr>
      </w:pPr>
      <w:r w:rsidDel="00000000" w:rsidR="00000000" w:rsidRPr="00000000">
        <w:rPr>
          <w:rtl w:val="0"/>
        </w:rPr>
      </w:r>
    </w:p>
    <w:tbl>
      <w:tblPr>
        <w:tblStyle w:val="Table1"/>
        <w:tblW w:w="967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977"/>
        <w:gridCol w:w="6701"/>
        <w:tblGridChange w:id="0">
          <w:tblGrid>
            <w:gridCol w:w="2977"/>
            <w:gridCol w:w="6701"/>
          </w:tblGrid>
        </w:tblGridChange>
      </w:tblGrid>
      <w:tr>
        <w:trPr>
          <w:cantSplit w:val="0"/>
          <w:trHeight w:val="567" w:hRule="atLeast"/>
          <w:tblHeader w:val="0"/>
        </w:trPr>
        <w:tc>
          <w:tcPr>
            <w:vAlign w:val="bottom"/>
          </w:tcPr>
          <w:p w:rsidR="00000000" w:rsidDel="00000000" w:rsidP="00000000" w:rsidRDefault="00000000" w:rsidRPr="00000000" w14:paraId="00000029">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Cohorte:</w:t>
            </w:r>
          </w:p>
        </w:tc>
        <w:tc>
          <w:tcPr>
            <w:vAlign w:val="bottom"/>
          </w:tcPr>
          <w:p w:rsidR="00000000" w:rsidDel="00000000" w:rsidP="00000000" w:rsidRDefault="00000000" w:rsidRPr="00000000" w14:paraId="0000002A">
            <w:pPr>
              <w:pBdr>
                <w:top w:space="0" w:sz="0" w:val="nil"/>
                <w:left w:space="0" w:sz="0" w:val="nil"/>
                <w:bottom w:space="0" w:sz="0" w:val="nil"/>
                <w:right w:space="0" w:sz="0" w:val="nil"/>
                <w:between w:space="0" w:sz="0" w:val="nil"/>
              </w:pBdr>
              <w:rPr>
                <w:color w:val="000000"/>
                <w:sz w:val="22"/>
                <w:szCs w:val="22"/>
              </w:rPr>
            </w:pPr>
            <w:r w:rsidDel="00000000" w:rsidR="00000000" w:rsidRPr="00000000">
              <w:rPr>
                <w:sz w:val="22"/>
                <w:szCs w:val="22"/>
                <w:rtl w:val="0"/>
              </w:rPr>
              <w:t xml:space="preserve">2022</w:t>
            </w:r>
            <w:r w:rsidDel="00000000" w:rsidR="00000000" w:rsidRPr="00000000">
              <w:rPr>
                <w:rtl w:val="0"/>
              </w:rPr>
            </w:r>
          </w:p>
        </w:tc>
      </w:tr>
      <w:tr>
        <w:trPr>
          <w:cantSplit w:val="0"/>
          <w:trHeight w:val="567" w:hRule="atLeast"/>
          <w:tblHeader w:val="0"/>
        </w:trPr>
        <w:tc>
          <w:tcPr>
            <w:vAlign w:val="bottom"/>
          </w:tcPr>
          <w:p w:rsidR="00000000" w:rsidDel="00000000" w:rsidP="00000000" w:rsidRDefault="00000000" w:rsidRPr="00000000" w14:paraId="0000002B">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Matrícula inicial de posgrado:</w:t>
            </w:r>
          </w:p>
        </w:tc>
        <w:tc>
          <w:tcPr>
            <w:vAlign w:val="bottom"/>
          </w:tcPr>
          <w:p w:rsidR="00000000" w:rsidDel="00000000" w:rsidP="00000000" w:rsidRDefault="00000000" w:rsidRPr="00000000" w14:paraId="0000002C">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w:t>
            </w:r>
            <w:r w:rsidDel="00000000" w:rsidR="00000000" w:rsidRPr="00000000">
              <w:rPr>
                <w:sz w:val="22"/>
                <w:szCs w:val="22"/>
                <w:rtl w:val="0"/>
              </w:rPr>
              <w:t xml:space="preserve">11200</w:t>
            </w:r>
            <w:r w:rsidDel="00000000" w:rsidR="00000000" w:rsidRPr="00000000">
              <w:rPr>
                <w:rtl w:val="0"/>
              </w:rPr>
            </w:r>
          </w:p>
        </w:tc>
      </w:tr>
      <w:tr>
        <w:trPr>
          <w:cantSplit w:val="0"/>
          <w:trHeight w:val="567" w:hRule="atLeast"/>
          <w:tblHeader w:val="0"/>
        </w:trPr>
        <w:tc>
          <w:tcPr>
            <w:vAlign w:val="bottom"/>
          </w:tcPr>
          <w:p w:rsidR="00000000" w:rsidDel="00000000" w:rsidP="00000000" w:rsidRDefault="00000000" w:rsidRPr="00000000" w14:paraId="0000002D">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Arancel de posgrado:</w:t>
            </w:r>
          </w:p>
        </w:tc>
        <w:tc>
          <w:tcPr>
            <w:vAlign w:val="bottom"/>
          </w:tcPr>
          <w:p w:rsidR="00000000" w:rsidDel="00000000" w:rsidP="00000000" w:rsidRDefault="00000000" w:rsidRPr="00000000" w14:paraId="0000002E">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w:t>
            </w:r>
            <w:r w:rsidDel="00000000" w:rsidR="00000000" w:rsidRPr="00000000">
              <w:rPr>
                <w:sz w:val="22"/>
                <w:szCs w:val="22"/>
                <w:rtl w:val="0"/>
              </w:rPr>
              <w:t xml:space="preserve">13000 (5 cuotas de ciclo 2022)</w:t>
            </w:r>
            <w:r w:rsidDel="00000000" w:rsidR="00000000" w:rsidRPr="00000000">
              <w:rPr>
                <w:rtl w:val="0"/>
              </w:rPr>
            </w:r>
          </w:p>
        </w:tc>
      </w:tr>
      <w:tr>
        <w:trPr>
          <w:cantSplit w:val="0"/>
          <w:trHeight w:val="737" w:hRule="atLeast"/>
          <w:tblHeader w:val="0"/>
        </w:trPr>
        <w:tc>
          <w:tcPr>
            <w:vAlign w:val="bottom"/>
          </w:tcPr>
          <w:p w:rsidR="00000000" w:rsidDel="00000000" w:rsidP="00000000" w:rsidRDefault="00000000" w:rsidRPr="00000000" w14:paraId="0000002F">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Observaciones:</w:t>
            </w:r>
          </w:p>
        </w:tc>
        <w:tc>
          <w:tcPr>
            <w:vAlign w:val="bottom"/>
          </w:tcPr>
          <w:p w:rsidR="00000000" w:rsidDel="00000000" w:rsidP="00000000" w:rsidRDefault="00000000" w:rsidRPr="00000000" w14:paraId="00000030">
            <w:pPr>
              <w:pBdr>
                <w:top w:space="0" w:sz="0" w:val="nil"/>
                <w:left w:space="0" w:sz="0" w:val="nil"/>
                <w:bottom w:space="0" w:sz="0" w:val="nil"/>
                <w:right w:space="0" w:sz="0" w:val="nil"/>
                <w:between w:space="0" w:sz="0" w:val="nil"/>
              </w:pBdr>
              <w:rPr>
                <w:color w:val="000000"/>
                <w:sz w:val="22"/>
                <w:szCs w:val="22"/>
              </w:rPr>
            </w:pPr>
            <w:r w:rsidDel="00000000" w:rsidR="00000000" w:rsidRPr="00000000">
              <w:rPr>
                <w:sz w:val="22"/>
                <w:szCs w:val="22"/>
                <w:rtl w:val="0"/>
              </w:rPr>
              <w:t xml:space="preserve">Durante el ciclo 2023 se deberán abonar 9 cuotas y durante el ciclo 2024 se deberán 4 cuotas a un precio que se actualizará oportunamente y le será debidamente informado.</w:t>
            </w:r>
            <w:r w:rsidDel="00000000" w:rsidR="00000000" w:rsidRPr="00000000">
              <w:rPr>
                <w:rtl w:val="0"/>
              </w:rPr>
            </w:r>
          </w:p>
        </w:tc>
      </w:tr>
      <w:tr>
        <w:trPr>
          <w:cantSplit w:val="0"/>
          <w:trHeight w:val="567" w:hRule="atLeast"/>
          <w:tblHeader w:val="0"/>
        </w:trPr>
        <w:tc>
          <w:tcPr>
            <w:vAlign w:val="bottom"/>
          </w:tcPr>
          <w:p w:rsidR="00000000" w:rsidDel="00000000" w:rsidP="00000000" w:rsidRDefault="00000000" w:rsidRPr="00000000" w14:paraId="00000031">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Firma:</w:t>
            </w:r>
          </w:p>
        </w:tc>
        <w:tc>
          <w:tcPr>
            <w:vAlign w:val="bottom"/>
          </w:tcPr>
          <w:p w:rsidR="00000000" w:rsidDel="00000000" w:rsidP="00000000" w:rsidRDefault="00000000" w:rsidRPr="00000000" w14:paraId="00000032">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w:t>
            </w:r>
          </w:p>
        </w:tc>
      </w:tr>
      <w:tr>
        <w:trPr>
          <w:cantSplit w:val="0"/>
          <w:trHeight w:val="567" w:hRule="atLeast"/>
          <w:tblHeader w:val="0"/>
        </w:trPr>
        <w:tc>
          <w:tcPr>
            <w:vAlign w:val="bottom"/>
          </w:tcPr>
          <w:p w:rsidR="00000000" w:rsidDel="00000000" w:rsidP="00000000" w:rsidRDefault="00000000" w:rsidRPr="00000000" w14:paraId="00000033">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Aclaración:</w:t>
            </w:r>
          </w:p>
        </w:tc>
        <w:tc>
          <w:tcPr>
            <w:vAlign w:val="bottom"/>
          </w:tcPr>
          <w:p w:rsidR="00000000" w:rsidDel="00000000" w:rsidP="00000000" w:rsidRDefault="00000000" w:rsidRPr="00000000" w14:paraId="00000034">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w:t>
            </w:r>
          </w:p>
        </w:tc>
      </w:tr>
      <w:tr>
        <w:trPr>
          <w:cantSplit w:val="0"/>
          <w:trHeight w:val="567" w:hRule="atLeast"/>
          <w:tblHeader w:val="0"/>
        </w:trPr>
        <w:tc>
          <w:tcPr>
            <w:vAlign w:val="bottom"/>
          </w:tcPr>
          <w:p w:rsidR="00000000" w:rsidDel="00000000" w:rsidP="00000000" w:rsidRDefault="00000000" w:rsidRPr="00000000" w14:paraId="00000035">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DNI:</w:t>
            </w:r>
          </w:p>
        </w:tc>
        <w:tc>
          <w:tcPr>
            <w:vAlign w:val="bottom"/>
          </w:tcPr>
          <w:p w:rsidR="00000000" w:rsidDel="00000000" w:rsidP="00000000" w:rsidRDefault="00000000" w:rsidRPr="00000000" w14:paraId="00000036">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w:t>
            </w:r>
          </w:p>
        </w:tc>
      </w:tr>
    </w:tbl>
    <w:p w:rsidR="00000000" w:rsidDel="00000000" w:rsidP="00000000" w:rsidRDefault="00000000" w:rsidRPr="00000000" w14:paraId="00000037">
      <w:pPr>
        <w:keepLines w:val="1"/>
        <w:pBdr>
          <w:top w:space="0" w:sz="0" w:val="nil"/>
          <w:left w:space="0" w:sz="0" w:val="nil"/>
          <w:bottom w:space="0" w:sz="0" w:val="nil"/>
          <w:right w:space="0" w:sz="0" w:val="nil"/>
          <w:between w:space="0" w:sz="0" w:val="nil"/>
        </w:pBdr>
        <w:spacing w:after="120" w:before="120" w:lineRule="auto"/>
        <w:jc w:val="both"/>
        <w:rPr>
          <w:b w:val="1"/>
          <w:color w:val="000000"/>
          <w:sz w:val="22"/>
          <w:szCs w:val="22"/>
        </w:rPr>
      </w:pPr>
      <w:r w:rsidDel="00000000" w:rsidR="00000000" w:rsidRPr="00000000">
        <w:rPr>
          <w:rtl w:val="0"/>
        </w:rPr>
      </w:r>
    </w:p>
    <w:sectPr>
      <w:headerReference r:id="rId7" w:type="default"/>
      <w:footerReference r:id="rId8" w:type="default"/>
      <w:pgSz w:h="15840" w:w="12240" w:orient="portrait"/>
      <w:pgMar w:bottom="851" w:top="1701" w:left="1418" w:right="1134" w:header="284"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76" w:lineRule="auto"/>
      <w:rPr>
        <w:color w:val="000000"/>
        <w:sz w:val="4"/>
        <w:szCs w:val="4"/>
      </w:rPr>
    </w:pPr>
    <w:r w:rsidDel="00000000" w:rsidR="00000000" w:rsidRPr="00000000">
      <w:rPr>
        <w:rtl w:val="0"/>
      </w:rPr>
    </w:r>
  </w:p>
  <w:tbl>
    <w:tblPr>
      <w:tblStyle w:val="Table3"/>
      <w:tblW w:w="96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3"/>
      <w:gridCol w:w="6780"/>
      <w:gridCol w:w="1455"/>
      <w:tblGridChange w:id="0">
        <w:tblGrid>
          <w:gridCol w:w="1453"/>
          <w:gridCol w:w="6780"/>
          <w:gridCol w:w="1455"/>
        </w:tblGrid>
      </w:tblGridChange>
    </w:tblGrid>
    <w:tr>
      <w:trPr>
        <w:cantSplit w:val="0"/>
        <w:trHeight w:val="283" w:hRule="atLeast"/>
        <w:tblHeader w:val="0"/>
      </w:trPr>
      <w:tc>
        <w:tcPr>
          <w:tcBorders>
            <w:top w:color="000000" w:space="0" w:sz="12"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E">
          <w:pPr>
            <w:tabs>
              <w:tab w:val="center" w:pos="4320"/>
              <w:tab w:val="right" w:pos="8640"/>
            </w:tabs>
            <w:jc w:val="center"/>
            <w:rPr>
              <w:color w:val="000000"/>
              <w:sz w:val="18"/>
              <w:szCs w:val="18"/>
            </w:rPr>
          </w:pPr>
          <w:r w:rsidDel="00000000" w:rsidR="00000000" w:rsidRPr="00000000">
            <w:rPr>
              <w:color w:val="000000"/>
              <w:sz w:val="18"/>
              <w:szCs w:val="18"/>
              <w:rtl w:val="0"/>
            </w:rPr>
            <w:t xml:space="preserve">202</w:t>
          </w:r>
          <w:r w:rsidDel="00000000" w:rsidR="00000000" w:rsidRPr="00000000">
            <w:rPr>
              <w:sz w:val="18"/>
              <w:szCs w:val="18"/>
              <w:rtl w:val="0"/>
            </w:rPr>
            <w:t xml:space="preserve">2</w:t>
          </w:r>
          <w:r w:rsidDel="00000000" w:rsidR="00000000" w:rsidRPr="00000000">
            <w:rPr>
              <w:color w:val="000000"/>
              <w:sz w:val="18"/>
              <w:szCs w:val="18"/>
              <w:rtl w:val="0"/>
            </w:rPr>
            <w:t xml:space="preserve"> v</w:t>
          </w:r>
          <w:r w:rsidDel="00000000" w:rsidR="00000000" w:rsidRPr="00000000">
            <w:rPr>
              <w:sz w:val="18"/>
              <w:szCs w:val="18"/>
              <w:rtl w:val="0"/>
            </w:rPr>
            <w:t xml:space="preserve">4</w:t>
          </w:r>
          <w:r w:rsidDel="00000000" w:rsidR="00000000" w:rsidRPr="00000000">
            <w:rPr>
              <w:rtl w:val="0"/>
            </w:rPr>
          </w:r>
        </w:p>
      </w:tc>
      <w:tc>
        <w:tcPr>
          <w:tcBorders>
            <w:top w:color="000000" w:space="0" w:sz="12"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3F">
          <w:pPr>
            <w:tabs>
              <w:tab w:val="center" w:pos="4320"/>
              <w:tab w:val="right" w:pos="8640"/>
            </w:tabs>
            <w:jc w:val="center"/>
            <w:rPr>
              <w:color w:val="000000"/>
              <w:sz w:val="18"/>
              <w:szCs w:val="18"/>
            </w:rPr>
          </w:pPr>
          <w:r w:rsidDel="00000000" w:rsidR="00000000" w:rsidRPr="00000000">
            <w:rPr>
              <w:color w:val="000000"/>
              <w:sz w:val="18"/>
              <w:szCs w:val="18"/>
              <w:rtl w:val="0"/>
            </w:rPr>
            <w:t xml:space="preserve">Régimen de Aranceles – MaEER</w:t>
          </w:r>
        </w:p>
      </w:tc>
      <w:tc>
        <w:tcPr>
          <w:tcBorders>
            <w:top w:color="000000" w:space="0" w:sz="12" w:val="single"/>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0">
          <w:pPr>
            <w:tabs>
              <w:tab w:val="center" w:pos="4320"/>
              <w:tab w:val="right" w:pos="8640"/>
            </w:tabs>
            <w:jc w:val="center"/>
            <w:rPr/>
          </w:pPr>
          <w:r w:rsidDel="00000000" w:rsidR="00000000" w:rsidRPr="00000000">
            <w:rPr>
              <w:color w:val="000000"/>
              <w:sz w:val="18"/>
              <w:szCs w:val="18"/>
              <w:rtl w:val="0"/>
            </w:rPr>
            <w:t xml:space="preserve">Página </w:t>
          </w:r>
          <w:r w:rsidDel="00000000" w:rsidR="00000000" w:rsidRPr="00000000">
            <w:rPr>
              <w:sz w:val="18"/>
              <w:szCs w:val="18"/>
            </w:rPr>
            <w:fldChar w:fldCharType="begin"/>
            <w:instrText xml:space="preserve">PAGE</w:instrText>
            <w:fldChar w:fldCharType="separate"/>
            <w:fldChar w:fldCharType="end"/>
          </w:r>
          <w:r w:rsidDel="00000000" w:rsidR="00000000" w:rsidRPr="00000000">
            <w:rPr>
              <w:color w:val="000000"/>
              <w:sz w:val="18"/>
              <w:szCs w:val="18"/>
              <w:rtl w:val="0"/>
            </w:rPr>
            <w:t xml:space="preserve"> de </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41">
    <w:pPr>
      <w:rPr>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widowControl w:val="0"/>
      <w:spacing w:line="276" w:lineRule="auto"/>
      <w:rPr>
        <w:color w:val="000000"/>
        <w:sz w:val="2"/>
        <w:szCs w:val="2"/>
      </w:rPr>
    </w:pPr>
    <w:r w:rsidDel="00000000" w:rsidR="00000000" w:rsidRPr="00000000">
      <w:rPr>
        <w:rtl w:val="0"/>
      </w:rPr>
    </w:r>
  </w:p>
  <w:tbl>
    <w:tblPr>
      <w:tblStyle w:val="Table2"/>
      <w:tblW w:w="9794.0" w:type="dxa"/>
      <w:jc w:val="center"/>
      <w:tblBorders>
        <w:top w:color="000000" w:space="0" w:sz="12" w:val="single"/>
        <w:left w:color="000000" w:space="0" w:sz="4" w:val="single"/>
        <w:bottom w:color="000000" w:space="0" w:sz="12" w:val="single"/>
        <w:right w:color="000000" w:space="0" w:sz="4" w:val="single"/>
        <w:insideH w:color="000000" w:space="0" w:sz="12" w:val="single"/>
        <w:insideV w:color="000000" w:space="0" w:sz="4" w:val="single"/>
      </w:tblBorders>
      <w:tblLayout w:type="fixed"/>
      <w:tblLook w:val="0400"/>
    </w:tblPr>
    <w:tblGrid>
      <w:gridCol w:w="3264"/>
      <w:gridCol w:w="3265"/>
      <w:gridCol w:w="3265"/>
      <w:tblGridChange w:id="0">
        <w:tblGrid>
          <w:gridCol w:w="3264"/>
          <w:gridCol w:w="3265"/>
          <w:gridCol w:w="3265"/>
        </w:tblGrid>
      </w:tblGridChange>
    </w:tblGrid>
    <w:tr>
      <w:trPr>
        <w:cantSplit w:val="0"/>
        <w:trHeight w:val="283" w:hRule="atLeast"/>
        <w:tblHeader w:val="0"/>
      </w:trPr>
      <w:tc>
        <w:tcPr>
          <w:tcBorders>
            <w:top w:color="000000" w:space="0" w:sz="12" w:val="single"/>
            <w:bottom w:color="000000" w:space="0" w:sz="12" w:val="single"/>
          </w:tcBorders>
          <w:shd w:fill="auto" w:val="clear"/>
          <w:vAlign w:val="center"/>
        </w:tcPr>
        <w:p w:rsidR="00000000" w:rsidDel="00000000" w:rsidP="00000000" w:rsidRDefault="00000000" w:rsidRPr="00000000" w14:paraId="00000039">
          <w:pPr>
            <w:jc w:val="center"/>
            <w:rPr>
              <w:rFonts w:ascii="Book Antiqua" w:cs="Book Antiqua" w:eastAsia="Book Antiqua" w:hAnsi="Book Antiqua"/>
              <w:sz w:val="14"/>
              <w:szCs w:val="14"/>
            </w:rPr>
          </w:pPr>
          <w:r w:rsidDel="00000000" w:rsidR="00000000" w:rsidRPr="00000000">
            <w:rPr/>
            <w:drawing>
              <wp:inline distB="0" distT="0" distL="0" distR="0">
                <wp:extent cx="1007110" cy="539750"/>
                <wp:effectExtent b="0" l="0" r="0" 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07110" cy="539750"/>
                        </a:xfrm>
                        <a:prstGeom prst="rect"/>
                        <a:ln/>
                      </pic:spPr>
                    </pic:pic>
                  </a:graphicData>
                </a:graphic>
              </wp:inline>
            </w:drawing>
          </w:r>
          <w:r w:rsidDel="00000000" w:rsidR="00000000" w:rsidRPr="00000000">
            <w:rPr>
              <w:rtl w:val="0"/>
            </w:rPr>
          </w:r>
        </w:p>
      </w:tc>
      <w:tc>
        <w:tcPr>
          <w:tcBorders>
            <w:top w:color="000000" w:space="0" w:sz="12" w:val="single"/>
            <w:bottom w:color="000000" w:space="0" w:sz="12" w:val="single"/>
          </w:tcBorders>
          <w:shd w:fill="auto" w:val="clear"/>
          <w:vAlign w:val="center"/>
        </w:tcPr>
        <w:p w:rsidR="00000000" w:rsidDel="00000000" w:rsidP="00000000" w:rsidRDefault="00000000" w:rsidRPr="00000000" w14:paraId="0000003A">
          <w:pPr>
            <w:tabs>
              <w:tab w:val="center" w:pos="4320"/>
              <w:tab w:val="right" w:pos="8640"/>
            </w:tabs>
            <w:jc w:val="center"/>
            <w:rPr>
              <w:b w:val="1"/>
            </w:rPr>
          </w:pPr>
          <w:r w:rsidDel="00000000" w:rsidR="00000000" w:rsidRPr="00000000">
            <w:rPr/>
            <w:drawing>
              <wp:inline distB="0" distT="0" distL="0" distR="0">
                <wp:extent cx="737235" cy="720090"/>
                <wp:effectExtent b="0" l="0" r="0" t="0"/>
                <wp:docPr id="12" name="image3.png"/>
                <a:graphic>
                  <a:graphicData uri="http://schemas.openxmlformats.org/drawingml/2006/picture">
                    <pic:pic>
                      <pic:nvPicPr>
                        <pic:cNvPr id="0" name="image3.png"/>
                        <pic:cNvPicPr preferRelativeResize="0"/>
                      </pic:nvPicPr>
                      <pic:blipFill>
                        <a:blip r:embed="rId2"/>
                        <a:srcRect b="0" l="0" r="74166" t="0"/>
                        <a:stretch>
                          <a:fillRect/>
                        </a:stretch>
                      </pic:blipFill>
                      <pic:spPr>
                        <a:xfrm>
                          <a:off x="0" y="0"/>
                          <a:ext cx="737235" cy="720090"/>
                        </a:xfrm>
                        <a:prstGeom prst="rect"/>
                        <a:ln/>
                      </pic:spPr>
                    </pic:pic>
                  </a:graphicData>
                </a:graphic>
              </wp:inline>
            </w:drawing>
          </w:r>
          <w:r w:rsidDel="00000000" w:rsidR="00000000" w:rsidRPr="00000000">
            <w:rPr>
              <w:rtl w:val="0"/>
            </w:rPr>
          </w:r>
        </w:p>
      </w:tc>
      <w:tc>
        <w:tcPr>
          <w:tcBorders>
            <w:top w:color="000000" w:space="0" w:sz="12" w:val="single"/>
            <w:bottom w:color="000000" w:space="0" w:sz="12" w:val="single"/>
          </w:tcBorders>
          <w:shd w:fill="auto" w:val="clear"/>
          <w:vAlign w:val="center"/>
        </w:tcPr>
        <w:p w:rsidR="00000000" w:rsidDel="00000000" w:rsidP="00000000" w:rsidRDefault="00000000" w:rsidRPr="00000000" w14:paraId="0000003B">
          <w:pPr>
            <w:widowControl w:val="0"/>
            <w:jc w:val="center"/>
            <w:rPr>
              <w:color w:val="000000"/>
            </w:rPr>
          </w:pPr>
          <w:r w:rsidDel="00000000" w:rsidR="00000000" w:rsidRPr="00000000">
            <w:rPr/>
            <w:drawing>
              <wp:inline distB="0" distT="0" distL="0" distR="0">
                <wp:extent cx="1694180" cy="539750"/>
                <wp:effectExtent b="0" l="0" r="0" t="0"/>
                <wp:docPr id="11"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1694180" cy="5397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3C">
    <w:pPr>
      <w:tabs>
        <w:tab w:val="center" w:pos="4320"/>
        <w:tab w:val="right" w:pos="8640"/>
      </w:tabs>
      <w:rPr>
        <w:color w:val="000000"/>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hd w:fill="00b2a9" w:val="clear"/>
      <w:spacing w:after="240" w:before="240" w:lineRule="auto"/>
    </w:pPr>
    <w:rPr>
      <w:b w:val="1"/>
      <w:smallCaps w:val="1"/>
      <w:color w:val="ffffff"/>
      <w:sz w:val="28"/>
      <w:szCs w:val="28"/>
    </w:rPr>
  </w:style>
  <w:style w:type="paragraph" w:styleId="Heading2">
    <w:name w:val="heading 2"/>
    <w:basedOn w:val="Normal"/>
    <w:next w:val="Normal"/>
    <w:pPr>
      <w:keepNext w:val="1"/>
      <w:keepLines w:val="1"/>
      <w:spacing w:after="240" w:before="480" w:lineRule="auto"/>
    </w:pPr>
    <w:rPr>
      <w:b w:val="1"/>
    </w:rPr>
  </w:style>
  <w:style w:type="paragraph" w:styleId="Heading3">
    <w:name w:val="heading 3"/>
    <w:basedOn w:val="Normal"/>
    <w:next w:val="Normal"/>
    <w:pPr>
      <w:keepNext w:val="1"/>
      <w:keepLines w:val="1"/>
      <w:spacing w:after="80" w:before="280" w:lineRule="auto"/>
    </w:pPr>
    <w:rPr>
      <w:b w:val="1"/>
      <w:sz w:val="22"/>
      <w:szCs w:val="22"/>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hd w:fill="00b2a9" w:val="clear"/>
      <w:spacing w:after="240" w:before="240" w:lineRule="auto"/>
    </w:pPr>
    <w:rPr>
      <w:b w:val="1"/>
      <w:smallCaps w:val="1"/>
      <w:color w:val="ffffff"/>
      <w:sz w:val="28"/>
      <w:szCs w:val="28"/>
    </w:rPr>
  </w:style>
  <w:style w:type="paragraph" w:styleId="Heading2">
    <w:name w:val="heading 2"/>
    <w:basedOn w:val="Normal"/>
    <w:next w:val="Normal"/>
    <w:pPr>
      <w:keepNext w:val="1"/>
      <w:keepLines w:val="1"/>
      <w:spacing w:after="240" w:before="480" w:lineRule="auto"/>
    </w:pPr>
    <w:rPr>
      <w:b w:val="1"/>
    </w:rPr>
  </w:style>
  <w:style w:type="paragraph" w:styleId="Heading3">
    <w:name w:val="heading 3"/>
    <w:basedOn w:val="Normal"/>
    <w:next w:val="Normal"/>
    <w:pPr>
      <w:keepNext w:val="1"/>
      <w:keepLines w:val="1"/>
      <w:spacing w:after="80" w:before="280" w:lineRule="auto"/>
    </w:pPr>
    <w:rPr>
      <w:b w:val="1"/>
      <w:sz w:val="22"/>
      <w:szCs w:val="22"/>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A2FE1"/>
  </w:style>
  <w:style w:type="paragraph" w:styleId="Heading1">
    <w:name w:val="heading 1"/>
    <w:basedOn w:val="Normal"/>
    <w:next w:val="Normal"/>
    <w:link w:val="Heading1Char"/>
    <w:uiPriority w:val="9"/>
    <w:qFormat w:val="1"/>
    <w:rsid w:val="002667F7"/>
    <w:pPr>
      <w:keepNext w:val="1"/>
      <w:shd w:color="auto" w:fill="00b2a9" w:val="clear"/>
      <w:spacing w:after="240" w:before="240"/>
      <w:outlineLvl w:val="0"/>
    </w:pPr>
    <w:rPr>
      <w:b w:val="1"/>
      <w:bCs w:val="1"/>
      <w:caps w:val="1"/>
      <w:color w:val="ffffff" w:themeColor="text2"/>
      <w:kern w:val="2"/>
      <w:sz w:val="28"/>
      <w:szCs w:val="32"/>
    </w:rPr>
  </w:style>
  <w:style w:type="paragraph" w:styleId="Heading2">
    <w:name w:val="heading 2"/>
    <w:basedOn w:val="Normal"/>
    <w:next w:val="Normal"/>
    <w:link w:val="Heading2Char"/>
    <w:uiPriority w:val="9"/>
    <w:semiHidden w:val="1"/>
    <w:unhideWhenUsed w:val="1"/>
    <w:qFormat w:val="1"/>
    <w:rsid w:val="008E3E03"/>
    <w:pPr>
      <w:keepNext w:val="1"/>
      <w:keepLines w:val="1"/>
      <w:spacing w:after="240" w:before="480"/>
      <w:outlineLvl w:val="1"/>
    </w:pPr>
    <w:rPr>
      <w:b w:val="1"/>
      <w:szCs w:val="36"/>
    </w:rPr>
  </w:style>
  <w:style w:type="paragraph" w:styleId="Heading3">
    <w:name w:val="heading 3"/>
    <w:basedOn w:val="Normal"/>
    <w:next w:val="Normal"/>
    <w:uiPriority w:val="9"/>
    <w:semiHidden w:val="1"/>
    <w:unhideWhenUsed w:val="1"/>
    <w:qFormat w:val="1"/>
    <w:rsid w:val="00612899"/>
    <w:pPr>
      <w:keepNext w:val="1"/>
      <w:keepLines w:val="1"/>
      <w:spacing w:after="80" w:before="280"/>
      <w:outlineLvl w:val="2"/>
    </w:pPr>
    <w:rPr>
      <w:b w:val="1"/>
      <w:sz w:val="22"/>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EYBodytextwithparaspaceChar" w:customStyle="1">
    <w:name w:val="EY Body text (with para space) Char"/>
    <w:basedOn w:val="DefaultParagraphFont"/>
    <w:link w:val="EYBodytextwithparaspace"/>
    <w:qFormat w:val="1"/>
    <w:rsid w:val="000B5D7A"/>
    <w:rPr>
      <w:rFonts w:ascii="Arial" w:hAnsi="Arial"/>
      <w:kern w:val="2"/>
      <w:szCs w:val="24"/>
    </w:rPr>
  </w:style>
  <w:style w:type="character" w:styleId="HeaderChar" w:customStyle="1">
    <w:name w:val="Header Char"/>
    <w:basedOn w:val="DefaultParagraphFont"/>
    <w:link w:val="Header"/>
    <w:qFormat w:val="1"/>
    <w:rsid w:val="00BB456C"/>
    <w:rPr>
      <w:rFonts w:ascii="Arial" w:hAnsi="Arial"/>
      <w:sz w:val="24"/>
      <w:szCs w:val="24"/>
    </w:rPr>
  </w:style>
  <w:style w:type="character" w:styleId="Heading1Char" w:customStyle="1">
    <w:name w:val="Heading 1 Char"/>
    <w:basedOn w:val="DefaultParagraphFont"/>
    <w:link w:val="Heading1"/>
    <w:uiPriority w:val="9"/>
    <w:qFormat w:val="1"/>
    <w:rsid w:val="002667F7"/>
    <w:rPr>
      <w:b w:val="1"/>
      <w:bCs w:val="1"/>
      <w:caps w:val="1"/>
      <w:color w:val="ffffff" w:themeColor="text2"/>
      <w:kern w:val="2"/>
      <w:sz w:val="28"/>
      <w:szCs w:val="32"/>
      <w:shd w:color="auto" w:fill="00b2a9" w:val="clear"/>
    </w:rPr>
  </w:style>
  <w:style w:type="character" w:styleId="BalloonTextChar" w:customStyle="1">
    <w:name w:val="Balloon Text Char"/>
    <w:basedOn w:val="DefaultParagraphFont"/>
    <w:link w:val="BalloonText"/>
    <w:qFormat w:val="1"/>
    <w:rsid w:val="00B579A4"/>
    <w:rPr>
      <w:rFonts w:ascii="Tahoma" w:cs="Tahoma" w:hAnsi="Tahoma"/>
      <w:sz w:val="16"/>
      <w:szCs w:val="16"/>
    </w:rPr>
  </w:style>
  <w:style w:type="character" w:styleId="EYBulletedtext1Char" w:customStyle="1">
    <w:name w:val="EY Bulleted text 1 Char"/>
    <w:basedOn w:val="DefaultParagraphFont"/>
    <w:link w:val="EYBulletedtext1"/>
    <w:qFormat w:val="1"/>
    <w:rsid w:val="008C0538"/>
    <w:rPr>
      <w:rFonts w:ascii="Arial" w:hAnsi="Arial"/>
      <w:kern w:val="2"/>
      <w:szCs w:val="24"/>
    </w:rPr>
  </w:style>
  <w:style w:type="character" w:styleId="bulletChar" w:customStyle="1">
    <w:name w:val="bullet Char"/>
    <w:basedOn w:val="EYBodytextwithparaspaceChar"/>
    <w:qFormat w:val="1"/>
    <w:rsid w:val="001235F7"/>
    <w:rPr>
      <w:rFonts w:ascii="Arial" w:hAnsi="Arial"/>
      <w:kern w:val="2"/>
      <w:szCs w:val="24"/>
    </w:rPr>
  </w:style>
  <w:style w:type="character" w:styleId="FooterChar" w:customStyle="1">
    <w:name w:val="Footer Char"/>
    <w:basedOn w:val="DefaultParagraphFont"/>
    <w:link w:val="Footer"/>
    <w:uiPriority w:val="99"/>
    <w:qFormat w:val="1"/>
    <w:rsid w:val="008D6D41"/>
    <w:rPr>
      <w:rFonts w:ascii="Arial" w:hAnsi="Arial"/>
      <w:sz w:val="24"/>
      <w:szCs w:val="24"/>
    </w:rPr>
  </w:style>
  <w:style w:type="character" w:styleId="EnlacedeInternet" w:customStyle="1">
    <w:name w:val="Enlace de Internet"/>
    <w:basedOn w:val="DefaultParagraphFont"/>
    <w:unhideWhenUsed w:val="1"/>
    <w:rsid w:val="002D644F"/>
    <w:rPr>
      <w:color w:val="336699" w:themeColor="hyperlink"/>
      <w:u w:val="single"/>
    </w:rPr>
  </w:style>
  <w:style w:type="character" w:styleId="UnresolvedMention1" w:customStyle="1">
    <w:name w:val="Unresolved Mention1"/>
    <w:basedOn w:val="DefaultParagraphFont"/>
    <w:uiPriority w:val="99"/>
    <w:semiHidden w:val="1"/>
    <w:unhideWhenUsed w:val="1"/>
    <w:qFormat w:val="1"/>
    <w:rsid w:val="002D644F"/>
    <w:rPr>
      <w:color w:val="605e5c"/>
      <w:shd w:color="auto" w:fill="e1dfdd" w:val="clear"/>
    </w:rPr>
  </w:style>
  <w:style w:type="character" w:styleId="Heading2Char" w:customStyle="1">
    <w:name w:val="Heading 2 Char"/>
    <w:basedOn w:val="DefaultParagraphFont"/>
    <w:link w:val="Heading2"/>
    <w:uiPriority w:val="9"/>
    <w:qFormat w:val="1"/>
    <w:rsid w:val="008E3E03"/>
    <w:rPr>
      <w:b w:val="1"/>
      <w:sz w:val="24"/>
      <w:szCs w:val="36"/>
    </w:rPr>
  </w:style>
  <w:style w:type="character" w:styleId="ListLabel1" w:customStyle="1">
    <w:name w:val="ListLabel 1"/>
    <w:qFormat w:val="1"/>
    <w:rPr>
      <w:rFonts w:cs="Noto Sans Symbols" w:eastAsia="Noto Sans Symbols"/>
    </w:rPr>
  </w:style>
  <w:style w:type="character" w:styleId="ListLabel2" w:customStyle="1">
    <w:name w:val="ListLabel 2"/>
    <w:qFormat w:val="1"/>
    <w:rPr>
      <w:rFonts w:cs="Noto Sans Symbols" w:eastAsia="Noto Sans Symbols"/>
    </w:rPr>
  </w:style>
  <w:style w:type="character" w:styleId="ListLabel3" w:customStyle="1">
    <w:name w:val="ListLabel 3"/>
    <w:qFormat w:val="1"/>
    <w:rPr>
      <w:rFonts w:cs="Noto Sans Symbols" w:eastAsia="Noto Sans Symbols"/>
    </w:rPr>
  </w:style>
  <w:style w:type="character" w:styleId="ListLabel4" w:customStyle="1">
    <w:name w:val="ListLabel 4"/>
    <w:qFormat w:val="1"/>
    <w:rPr>
      <w:rFonts w:cs="Noto Sans Symbols" w:eastAsia="Noto Sans Symbols"/>
    </w:rPr>
  </w:style>
  <w:style w:type="character" w:styleId="ListLabel5" w:customStyle="1">
    <w:name w:val="ListLabel 5"/>
    <w:qFormat w:val="1"/>
    <w:rPr>
      <w:rFonts w:cs="Courier New" w:eastAsia="Courier New"/>
    </w:rPr>
  </w:style>
  <w:style w:type="character" w:styleId="ListLabel6" w:customStyle="1">
    <w:name w:val="ListLabel 6"/>
    <w:qFormat w:val="1"/>
    <w:rPr>
      <w:rFonts w:cs="Noto Sans Symbols" w:eastAsia="Noto Sans Symbols"/>
    </w:rPr>
  </w:style>
  <w:style w:type="character" w:styleId="ListLabel7" w:customStyle="1">
    <w:name w:val="ListLabel 7"/>
    <w:qFormat w:val="1"/>
    <w:rPr>
      <w:rFonts w:cs="Noto Sans Symbols" w:eastAsia="Noto Sans Symbols"/>
    </w:rPr>
  </w:style>
  <w:style w:type="character" w:styleId="ListLabel8" w:customStyle="1">
    <w:name w:val="ListLabel 8"/>
    <w:qFormat w:val="1"/>
    <w:rPr>
      <w:rFonts w:cs="Courier New" w:eastAsia="Courier New"/>
    </w:rPr>
  </w:style>
  <w:style w:type="character" w:styleId="ListLabel9" w:customStyle="1">
    <w:name w:val="ListLabel 9"/>
    <w:qFormat w:val="1"/>
    <w:rPr>
      <w:rFonts w:cs="Noto Sans Symbols" w:eastAsia="Noto Sans Symbols"/>
    </w:rPr>
  </w:style>
  <w:style w:type="character" w:styleId="ListLabel10" w:customStyle="1">
    <w:name w:val="ListLabel 10"/>
    <w:qFormat w:val="1"/>
    <w:rPr>
      <w:rFonts w:cs="Noto Sans Symbols" w:eastAsia="Noto Sans Symbols"/>
    </w:rPr>
  </w:style>
  <w:style w:type="character" w:styleId="ListLabel11" w:customStyle="1">
    <w:name w:val="ListLabel 11"/>
    <w:qFormat w:val="1"/>
    <w:rPr>
      <w:rFonts w:cs="Noto Sans Symbols" w:eastAsia="Noto Sans Symbols"/>
    </w:rPr>
  </w:style>
  <w:style w:type="character" w:styleId="ListLabel12" w:customStyle="1">
    <w:name w:val="ListLabel 12"/>
    <w:qFormat w:val="1"/>
    <w:rPr>
      <w:rFonts w:cs="Noto Sans Symbols" w:eastAsia="Noto Sans Symbols"/>
    </w:rPr>
  </w:style>
  <w:style w:type="character" w:styleId="ListLabel13" w:customStyle="1">
    <w:name w:val="ListLabel 13"/>
    <w:qFormat w:val="1"/>
    <w:rPr>
      <w:rFonts w:cs="Noto Sans Symbols" w:eastAsia="Noto Sans Symbols"/>
    </w:rPr>
  </w:style>
  <w:style w:type="character" w:styleId="ListLabel14" w:customStyle="1">
    <w:name w:val="ListLabel 14"/>
    <w:qFormat w:val="1"/>
    <w:rPr>
      <w:rFonts w:cs="Courier New" w:eastAsia="Courier New"/>
    </w:rPr>
  </w:style>
  <w:style w:type="character" w:styleId="ListLabel15" w:customStyle="1">
    <w:name w:val="ListLabel 15"/>
    <w:qFormat w:val="1"/>
    <w:rPr>
      <w:rFonts w:cs="Noto Sans Symbols" w:eastAsia="Noto Sans Symbols"/>
    </w:rPr>
  </w:style>
  <w:style w:type="character" w:styleId="ListLabel16" w:customStyle="1">
    <w:name w:val="ListLabel 16"/>
    <w:qFormat w:val="1"/>
    <w:rPr>
      <w:rFonts w:cs="Noto Sans Symbols" w:eastAsia="Noto Sans Symbols"/>
    </w:rPr>
  </w:style>
  <w:style w:type="character" w:styleId="ListLabel17" w:customStyle="1">
    <w:name w:val="ListLabel 17"/>
    <w:qFormat w:val="1"/>
    <w:rPr>
      <w:rFonts w:cs="Courier New" w:eastAsia="Courier New"/>
    </w:rPr>
  </w:style>
  <w:style w:type="character" w:styleId="ListLabel18" w:customStyle="1">
    <w:name w:val="ListLabel 18"/>
    <w:qFormat w:val="1"/>
    <w:rPr>
      <w:rFonts w:cs="Noto Sans Symbols" w:eastAsia="Noto Sans Symbols"/>
    </w:rPr>
  </w:style>
  <w:style w:type="character" w:styleId="ListLabel19" w:customStyle="1">
    <w:name w:val="ListLabel 19"/>
    <w:qFormat w:val="1"/>
    <w:rPr>
      <w:rFonts w:cs="Courier New"/>
    </w:rPr>
  </w:style>
  <w:style w:type="character" w:styleId="ListLabel20" w:customStyle="1">
    <w:name w:val="ListLabel 20"/>
    <w:qFormat w:val="1"/>
    <w:rPr>
      <w:rFonts w:cs="Courier New"/>
    </w:rPr>
  </w:style>
  <w:style w:type="character" w:styleId="ListLabel21" w:customStyle="1">
    <w:name w:val="ListLabel 21"/>
    <w:qFormat w:val="1"/>
    <w:rPr>
      <w:rFonts w:cs="Courier New"/>
    </w:rPr>
  </w:style>
  <w:style w:type="character" w:styleId="ListLabel22" w:customStyle="1">
    <w:name w:val="ListLabel 22"/>
    <w:qFormat w:val="1"/>
    <w:rPr>
      <w:rFonts w:cs="Courier New"/>
    </w:rPr>
  </w:style>
  <w:style w:type="character" w:styleId="ListLabel23" w:customStyle="1">
    <w:name w:val="ListLabel 23"/>
    <w:qFormat w:val="1"/>
    <w:rPr>
      <w:rFonts w:cs="Courier New"/>
    </w:rPr>
  </w:style>
  <w:style w:type="character" w:styleId="ListLabel24" w:customStyle="1">
    <w:name w:val="ListLabel 24"/>
    <w:qFormat w:val="1"/>
    <w:rPr>
      <w:rFonts w:cs="Courier New"/>
    </w:rPr>
  </w:style>
  <w:style w:type="character" w:styleId="ListLabel25" w:customStyle="1">
    <w:name w:val="ListLabel 25"/>
    <w:qFormat w:val="1"/>
    <w:rPr>
      <w:rFonts w:cs="Noto Sans Symbols" w:eastAsia="Noto Sans Symbols"/>
    </w:rPr>
  </w:style>
  <w:style w:type="character" w:styleId="ListLabel26" w:customStyle="1">
    <w:name w:val="ListLabel 26"/>
    <w:qFormat w:val="1"/>
    <w:rPr>
      <w:rFonts w:cs="Noto Sans Symbols" w:eastAsia="Noto Sans Symbols"/>
    </w:rPr>
  </w:style>
  <w:style w:type="character" w:styleId="ListLabel27" w:customStyle="1">
    <w:name w:val="ListLabel 27"/>
    <w:qFormat w:val="1"/>
    <w:rPr>
      <w:rFonts w:cs="Noto Sans Symbols" w:eastAsia="Noto Sans Symbols"/>
    </w:rPr>
  </w:style>
  <w:style w:type="character" w:styleId="ListLabel28" w:customStyle="1">
    <w:name w:val="ListLabel 28"/>
    <w:qFormat w:val="1"/>
    <w:rPr>
      <w:rFonts w:cs="Noto Sans Symbols" w:eastAsia="Noto Sans Symbols"/>
    </w:rPr>
  </w:style>
  <w:style w:type="character" w:styleId="ListLabel29" w:customStyle="1">
    <w:name w:val="ListLabel 29"/>
    <w:qFormat w:val="1"/>
    <w:rPr>
      <w:rFonts w:cs="Courier New" w:eastAsia="Courier New"/>
    </w:rPr>
  </w:style>
  <w:style w:type="character" w:styleId="ListLabel30" w:customStyle="1">
    <w:name w:val="ListLabel 30"/>
    <w:qFormat w:val="1"/>
    <w:rPr>
      <w:rFonts w:cs="Noto Sans Symbols" w:eastAsia="Noto Sans Symbols"/>
    </w:rPr>
  </w:style>
  <w:style w:type="character" w:styleId="ListLabel31" w:customStyle="1">
    <w:name w:val="ListLabel 31"/>
    <w:qFormat w:val="1"/>
    <w:rPr>
      <w:rFonts w:cs="Noto Sans Symbols" w:eastAsia="Noto Sans Symbols"/>
    </w:rPr>
  </w:style>
  <w:style w:type="character" w:styleId="ListLabel32" w:customStyle="1">
    <w:name w:val="ListLabel 32"/>
    <w:qFormat w:val="1"/>
    <w:rPr>
      <w:rFonts w:cs="Courier New" w:eastAsia="Courier New"/>
    </w:rPr>
  </w:style>
  <w:style w:type="character" w:styleId="ListLabel33" w:customStyle="1">
    <w:name w:val="ListLabel 33"/>
    <w:qFormat w:val="1"/>
    <w:rPr>
      <w:rFonts w:cs="Noto Sans Symbols" w:eastAsia="Noto Sans Symbols"/>
    </w:rPr>
  </w:style>
  <w:style w:type="character" w:styleId="ListLabel34" w:customStyle="1">
    <w:name w:val="ListLabel 34"/>
    <w:qFormat w:val="1"/>
    <w:rPr>
      <w:rFonts w:cs="Noto Sans Symbols" w:eastAsia="Noto Sans Symbols"/>
    </w:rPr>
  </w:style>
  <w:style w:type="character" w:styleId="ListLabel35" w:customStyle="1">
    <w:name w:val="ListLabel 35"/>
    <w:qFormat w:val="1"/>
    <w:rPr>
      <w:rFonts w:cs="Noto Sans Symbols" w:eastAsia="Noto Sans Symbols"/>
    </w:rPr>
  </w:style>
  <w:style w:type="character" w:styleId="ListLabel36" w:customStyle="1">
    <w:name w:val="ListLabel 36"/>
    <w:qFormat w:val="1"/>
    <w:rPr>
      <w:rFonts w:cs="Noto Sans Symbols" w:eastAsia="Noto Sans Symbols"/>
    </w:rPr>
  </w:style>
  <w:style w:type="character" w:styleId="ListLabel37" w:customStyle="1">
    <w:name w:val="ListLabel 37"/>
    <w:qFormat w:val="1"/>
    <w:rPr>
      <w:rFonts w:cs="Noto Sans Symbols" w:eastAsia="Noto Sans Symbols"/>
    </w:rPr>
  </w:style>
  <w:style w:type="character" w:styleId="ListLabel38" w:customStyle="1">
    <w:name w:val="ListLabel 38"/>
    <w:qFormat w:val="1"/>
    <w:rPr>
      <w:rFonts w:cs="Courier New" w:eastAsia="Courier New"/>
    </w:rPr>
  </w:style>
  <w:style w:type="character" w:styleId="ListLabel39" w:customStyle="1">
    <w:name w:val="ListLabel 39"/>
    <w:qFormat w:val="1"/>
    <w:rPr>
      <w:rFonts w:cs="Noto Sans Symbols" w:eastAsia="Noto Sans Symbols"/>
    </w:rPr>
  </w:style>
  <w:style w:type="character" w:styleId="ListLabel40" w:customStyle="1">
    <w:name w:val="ListLabel 40"/>
    <w:qFormat w:val="1"/>
    <w:rPr>
      <w:rFonts w:cs="Noto Sans Symbols" w:eastAsia="Noto Sans Symbols"/>
    </w:rPr>
  </w:style>
  <w:style w:type="character" w:styleId="ListLabel41" w:customStyle="1">
    <w:name w:val="ListLabel 41"/>
    <w:qFormat w:val="1"/>
    <w:rPr>
      <w:rFonts w:cs="Courier New" w:eastAsia="Courier New"/>
    </w:rPr>
  </w:style>
  <w:style w:type="character" w:styleId="ListLabel42" w:customStyle="1">
    <w:name w:val="ListLabel 42"/>
    <w:qFormat w:val="1"/>
    <w:rPr>
      <w:rFonts w:cs="Noto Sans Symbols" w:eastAsia="Noto Sans Symbols"/>
    </w:rPr>
  </w:style>
  <w:style w:type="character" w:styleId="ListLabel43" w:customStyle="1">
    <w:name w:val="ListLabel 43"/>
    <w:qFormat w:val="1"/>
    <w:rPr>
      <w:rFonts w:cs="Noto Sans Symbols" w:eastAsia="Noto Sans Symbols"/>
    </w:rPr>
  </w:style>
  <w:style w:type="character" w:styleId="ListLabel44" w:customStyle="1">
    <w:name w:val="ListLabel 44"/>
    <w:qFormat w:val="1"/>
    <w:rPr>
      <w:rFonts w:cs="Noto Sans Symbols" w:eastAsia="Noto Sans Symbols"/>
    </w:rPr>
  </w:style>
  <w:style w:type="character" w:styleId="ListLabel45" w:customStyle="1">
    <w:name w:val="ListLabel 45"/>
    <w:qFormat w:val="1"/>
    <w:rPr>
      <w:rFonts w:cs="Noto Sans Symbols" w:eastAsia="Noto Sans Symbols"/>
    </w:rPr>
  </w:style>
  <w:style w:type="character" w:styleId="ListLabel46" w:customStyle="1">
    <w:name w:val="ListLabel 46"/>
    <w:qFormat w:val="1"/>
    <w:rPr>
      <w:rFonts w:cs="Noto Sans Symbols" w:eastAsia="Noto Sans Symbols"/>
    </w:rPr>
  </w:style>
  <w:style w:type="character" w:styleId="ListLabel47" w:customStyle="1">
    <w:name w:val="ListLabel 47"/>
    <w:qFormat w:val="1"/>
    <w:rPr>
      <w:rFonts w:cs="Courier New" w:eastAsia="Courier New"/>
    </w:rPr>
  </w:style>
  <w:style w:type="character" w:styleId="ListLabel48" w:customStyle="1">
    <w:name w:val="ListLabel 48"/>
    <w:qFormat w:val="1"/>
    <w:rPr>
      <w:rFonts w:cs="Noto Sans Symbols" w:eastAsia="Noto Sans Symbols"/>
    </w:rPr>
  </w:style>
  <w:style w:type="character" w:styleId="ListLabel49" w:customStyle="1">
    <w:name w:val="ListLabel 49"/>
    <w:qFormat w:val="1"/>
    <w:rPr>
      <w:rFonts w:cs="Noto Sans Symbols" w:eastAsia="Noto Sans Symbols"/>
    </w:rPr>
  </w:style>
  <w:style w:type="character" w:styleId="ListLabel50" w:customStyle="1">
    <w:name w:val="ListLabel 50"/>
    <w:qFormat w:val="1"/>
    <w:rPr>
      <w:rFonts w:cs="Courier New" w:eastAsia="Courier New"/>
    </w:rPr>
  </w:style>
  <w:style w:type="character" w:styleId="ListLabel51" w:customStyle="1">
    <w:name w:val="ListLabel 51"/>
    <w:qFormat w:val="1"/>
    <w:rPr>
      <w:rFonts w:cs="Noto Sans Symbols" w:eastAsia="Noto Sans Symbols"/>
    </w:rPr>
  </w:style>
  <w:style w:type="character" w:styleId="ListLabel52" w:customStyle="1">
    <w:name w:val="ListLabel 52"/>
    <w:qFormat w:val="1"/>
    <w:rPr>
      <w:rFonts w:cs="Arial" w:eastAsia="Arial"/>
    </w:rPr>
  </w:style>
  <w:style w:type="character" w:styleId="ListLabel53" w:customStyle="1">
    <w:name w:val="ListLabel 53"/>
    <w:qFormat w:val="1"/>
    <w:rPr>
      <w:rFonts w:cs="Courier New"/>
    </w:rPr>
  </w:style>
  <w:style w:type="character" w:styleId="ListLabel54" w:customStyle="1">
    <w:name w:val="ListLabel 54"/>
    <w:qFormat w:val="1"/>
    <w:rPr>
      <w:rFonts w:cs="Courier New"/>
    </w:rPr>
  </w:style>
  <w:style w:type="character" w:styleId="ListLabel55" w:customStyle="1">
    <w:name w:val="ListLabel 55"/>
    <w:qFormat w:val="1"/>
    <w:rPr>
      <w:rFonts w:cs="Courier New"/>
    </w:rPr>
  </w:style>
  <w:style w:type="character" w:styleId="ListLabel56" w:customStyle="1">
    <w:name w:val="ListLabel 56"/>
    <w:qFormat w:val="1"/>
    <w:rPr>
      <w:color w:val="auto"/>
      <w:sz w:val="22"/>
      <w:szCs w:val="20"/>
    </w:rPr>
  </w:style>
  <w:style w:type="character" w:styleId="ListLabel57" w:customStyle="1">
    <w:name w:val="ListLabel 57"/>
    <w:qFormat w:val="1"/>
    <w:rPr>
      <w:rFonts w:cs="Courier New"/>
    </w:rPr>
  </w:style>
  <w:style w:type="character" w:styleId="ListLabel58" w:customStyle="1">
    <w:name w:val="ListLabel 58"/>
    <w:qFormat w:val="1"/>
    <w:rPr>
      <w:rFonts w:cs="Courier New"/>
    </w:rPr>
  </w:style>
  <w:style w:type="character" w:styleId="ListLabel59" w:customStyle="1">
    <w:name w:val="ListLabel 59"/>
    <w:qFormat w:val="1"/>
    <w:rPr>
      <w:rFonts w:cs="Courier New"/>
    </w:rPr>
  </w:style>
  <w:style w:type="character" w:styleId="ListLabel60" w:customStyle="1">
    <w:name w:val="ListLabel 60"/>
    <w:qFormat w:val="1"/>
    <w:rPr>
      <w:rFonts w:cs="Arial" w:eastAsia="Droid Sans Fallback"/>
    </w:rPr>
  </w:style>
  <w:style w:type="character" w:styleId="ListLabel61" w:customStyle="1">
    <w:name w:val="ListLabel 61"/>
    <w:qFormat w:val="1"/>
    <w:rPr>
      <w:rFonts w:cs="Courier New"/>
    </w:rPr>
  </w:style>
  <w:style w:type="character" w:styleId="ListLabel62" w:customStyle="1">
    <w:name w:val="ListLabel 62"/>
    <w:qFormat w:val="1"/>
    <w:rPr>
      <w:rFonts w:cs="Courier New"/>
    </w:rPr>
  </w:style>
  <w:style w:type="character" w:styleId="ListLabel63" w:customStyle="1">
    <w:name w:val="ListLabel 63"/>
    <w:qFormat w:val="1"/>
    <w:rPr>
      <w:rFonts w:cs="Courier New"/>
    </w:rPr>
  </w:style>
  <w:style w:type="character" w:styleId="ListLabel64" w:customStyle="1">
    <w:name w:val="ListLabel 64"/>
    <w:qFormat w:val="1"/>
    <w:rPr>
      <w:rFonts w:cs="Arial" w:eastAsia="Droid Sans Fallback"/>
    </w:rPr>
  </w:style>
  <w:style w:type="character" w:styleId="ListLabel65" w:customStyle="1">
    <w:name w:val="ListLabel 65"/>
    <w:qFormat w:val="1"/>
    <w:rPr>
      <w:rFonts w:cs="Courier New"/>
    </w:rPr>
  </w:style>
  <w:style w:type="character" w:styleId="ListLabel66" w:customStyle="1">
    <w:name w:val="ListLabel 66"/>
    <w:qFormat w:val="1"/>
    <w:rPr>
      <w:rFonts w:cs="Courier New"/>
    </w:rPr>
  </w:style>
  <w:style w:type="character" w:styleId="ListLabel67" w:customStyle="1">
    <w:name w:val="ListLabel 67"/>
    <w:qFormat w:val="1"/>
    <w:rPr>
      <w:rFonts w:cs="Courier New"/>
    </w:rPr>
  </w:style>
  <w:style w:type="character" w:styleId="ListLabel68" w:customStyle="1">
    <w:name w:val="ListLabel 68"/>
    <w:qFormat w:val="1"/>
    <w:rPr>
      <w:rFonts w:cs="Arial" w:eastAsia="Droid Sans Fallback"/>
    </w:rPr>
  </w:style>
  <w:style w:type="character" w:styleId="ListLabel69" w:customStyle="1">
    <w:name w:val="ListLabel 69"/>
    <w:qFormat w:val="1"/>
    <w:rPr>
      <w:rFonts w:cs="Courier New"/>
    </w:rPr>
  </w:style>
  <w:style w:type="character" w:styleId="ListLabel70" w:customStyle="1">
    <w:name w:val="ListLabel 70"/>
    <w:qFormat w:val="1"/>
    <w:rPr>
      <w:rFonts w:cs="Courier New"/>
    </w:rPr>
  </w:style>
  <w:style w:type="character" w:styleId="ListLabel71" w:customStyle="1">
    <w:name w:val="ListLabel 71"/>
    <w:qFormat w:val="1"/>
    <w:rPr>
      <w:rFonts w:cs="Courier New"/>
    </w:rPr>
  </w:style>
  <w:style w:type="character" w:styleId="ListLabel72" w:customStyle="1">
    <w:name w:val="ListLabel 72"/>
    <w:qFormat w:val="1"/>
    <w:rPr>
      <w:rFonts w:cs="Courier New"/>
    </w:rPr>
  </w:style>
  <w:style w:type="character" w:styleId="ListLabel73" w:customStyle="1">
    <w:name w:val="ListLabel 73"/>
    <w:qFormat w:val="1"/>
    <w:rPr>
      <w:rFonts w:cs="Courier New"/>
    </w:rPr>
  </w:style>
  <w:style w:type="character" w:styleId="ListLabel74" w:customStyle="1">
    <w:name w:val="ListLabel 74"/>
    <w:qFormat w:val="1"/>
    <w:rPr>
      <w:rFonts w:cs="Courier New"/>
    </w:rPr>
  </w:style>
  <w:style w:type="character" w:styleId="ListLabel75" w:customStyle="1">
    <w:name w:val="ListLabel 75"/>
    <w:qFormat w:val="1"/>
    <w:rPr>
      <w:rFonts w:cs="Courier New"/>
    </w:rPr>
  </w:style>
  <w:style w:type="character" w:styleId="ListLabel76" w:customStyle="1">
    <w:name w:val="ListLabel 76"/>
    <w:qFormat w:val="1"/>
    <w:rPr>
      <w:rFonts w:cs="Courier New"/>
    </w:rPr>
  </w:style>
  <w:style w:type="character" w:styleId="ListLabel77" w:customStyle="1">
    <w:name w:val="ListLabel 77"/>
    <w:qFormat w:val="1"/>
    <w:rPr>
      <w:rFonts w:cs="Courier New"/>
    </w:rPr>
  </w:style>
  <w:style w:type="character" w:styleId="ListLabel78" w:customStyle="1">
    <w:name w:val="ListLabel 78"/>
    <w:qFormat w:val="1"/>
    <w:rPr>
      <w:rFonts w:cs="Arial" w:eastAsia="Droid Sans Fallback"/>
    </w:rPr>
  </w:style>
  <w:style w:type="character" w:styleId="ListLabel79" w:customStyle="1">
    <w:name w:val="ListLabel 79"/>
    <w:qFormat w:val="1"/>
    <w:rPr>
      <w:rFonts w:cs="Courier New"/>
    </w:rPr>
  </w:style>
  <w:style w:type="character" w:styleId="ListLabel80" w:customStyle="1">
    <w:name w:val="ListLabel 80"/>
    <w:qFormat w:val="1"/>
    <w:rPr>
      <w:rFonts w:cs="Courier New"/>
    </w:rPr>
  </w:style>
  <w:style w:type="character" w:styleId="ListLabel81" w:customStyle="1">
    <w:name w:val="ListLabel 81"/>
    <w:qFormat w:val="1"/>
    <w:rPr>
      <w:rFonts w:cs="Courier New"/>
    </w:rPr>
  </w:style>
  <w:style w:type="character" w:styleId="ListLabel82" w:customStyle="1">
    <w:name w:val="ListLabel 82"/>
    <w:qFormat w:val="1"/>
    <w:rPr>
      <w:rFonts w:cs="Arial" w:eastAsia="Droid Sans Fallback"/>
    </w:rPr>
  </w:style>
  <w:style w:type="character" w:styleId="ListLabel83" w:customStyle="1">
    <w:name w:val="ListLabel 83"/>
    <w:qFormat w:val="1"/>
    <w:rPr>
      <w:rFonts w:cs="Courier New"/>
    </w:rPr>
  </w:style>
  <w:style w:type="character" w:styleId="ListLabel84" w:customStyle="1">
    <w:name w:val="ListLabel 84"/>
    <w:qFormat w:val="1"/>
    <w:rPr>
      <w:rFonts w:cs="Courier New"/>
    </w:rPr>
  </w:style>
  <w:style w:type="character" w:styleId="ListLabel85" w:customStyle="1">
    <w:name w:val="ListLabel 85"/>
    <w:qFormat w:val="1"/>
    <w:rPr>
      <w:rFonts w:cs="Courier New"/>
    </w:rPr>
  </w:style>
  <w:style w:type="character" w:styleId="ListLabel86" w:customStyle="1">
    <w:name w:val="ListLabel 86"/>
    <w:qFormat w:val="1"/>
    <w:rPr>
      <w:rFonts w:cs="Arial" w:eastAsia="Droid Sans Fallback"/>
    </w:rPr>
  </w:style>
  <w:style w:type="character" w:styleId="ListLabel87" w:customStyle="1">
    <w:name w:val="ListLabel 87"/>
    <w:qFormat w:val="1"/>
    <w:rPr>
      <w:rFonts w:cs="Courier New"/>
    </w:rPr>
  </w:style>
  <w:style w:type="character" w:styleId="ListLabel88" w:customStyle="1">
    <w:name w:val="ListLabel 88"/>
    <w:qFormat w:val="1"/>
    <w:rPr>
      <w:rFonts w:cs="Courier New"/>
    </w:rPr>
  </w:style>
  <w:style w:type="character" w:styleId="ListLabel89" w:customStyle="1">
    <w:name w:val="ListLabel 89"/>
    <w:qFormat w:val="1"/>
    <w:rPr>
      <w:rFonts w:cs="Courier New"/>
    </w:rPr>
  </w:style>
  <w:style w:type="character" w:styleId="ListLabel90" w:customStyle="1">
    <w:name w:val="ListLabel 90"/>
    <w:qFormat w:val="1"/>
    <w:rPr>
      <w:rFonts w:cs="Arial" w:eastAsia="Droid Sans Fallback"/>
    </w:rPr>
  </w:style>
  <w:style w:type="character" w:styleId="ListLabel91" w:customStyle="1">
    <w:name w:val="ListLabel 91"/>
    <w:qFormat w:val="1"/>
    <w:rPr>
      <w:rFonts w:cs="Courier New"/>
    </w:rPr>
  </w:style>
  <w:style w:type="character" w:styleId="ListLabel92" w:customStyle="1">
    <w:name w:val="ListLabel 92"/>
    <w:qFormat w:val="1"/>
    <w:rPr>
      <w:rFonts w:cs="Courier New"/>
    </w:rPr>
  </w:style>
  <w:style w:type="character" w:styleId="ListLabel93" w:customStyle="1">
    <w:name w:val="ListLabel 93"/>
    <w:qFormat w:val="1"/>
    <w:rPr>
      <w:rFonts w:cs="Courier New"/>
    </w:rPr>
  </w:style>
  <w:style w:type="character" w:styleId="ListLabel94" w:customStyle="1">
    <w:name w:val="ListLabel 94"/>
    <w:qFormat w:val="1"/>
    <w:rPr>
      <w:rFonts w:cs="Arial" w:eastAsia="Droid Sans Fallback"/>
    </w:rPr>
  </w:style>
  <w:style w:type="character" w:styleId="ListLabel95" w:customStyle="1">
    <w:name w:val="ListLabel 95"/>
    <w:qFormat w:val="1"/>
    <w:rPr>
      <w:rFonts w:cs="Courier New"/>
    </w:rPr>
  </w:style>
  <w:style w:type="character" w:styleId="ListLabel96" w:customStyle="1">
    <w:name w:val="ListLabel 96"/>
    <w:qFormat w:val="1"/>
    <w:rPr>
      <w:rFonts w:cs="Courier New"/>
    </w:rPr>
  </w:style>
  <w:style w:type="character" w:styleId="ListLabel97" w:customStyle="1">
    <w:name w:val="ListLabel 97"/>
    <w:qFormat w:val="1"/>
    <w:rPr>
      <w:rFonts w:cs="Courier New"/>
    </w:rPr>
  </w:style>
  <w:style w:type="character" w:styleId="ListLabel98" w:customStyle="1">
    <w:name w:val="ListLabel 98"/>
    <w:qFormat w:val="1"/>
    <w:rPr>
      <w:rFonts w:cs="Courier New"/>
    </w:rPr>
  </w:style>
  <w:style w:type="character" w:styleId="ListLabel99" w:customStyle="1">
    <w:name w:val="ListLabel 99"/>
    <w:qFormat w:val="1"/>
    <w:rPr>
      <w:rFonts w:cs="Courier New"/>
    </w:rPr>
  </w:style>
  <w:style w:type="character" w:styleId="ListLabel100" w:customStyle="1">
    <w:name w:val="ListLabel 100"/>
    <w:qFormat w:val="1"/>
    <w:rPr>
      <w:rFonts w:cs="Courier New"/>
    </w:rPr>
  </w:style>
  <w:style w:type="character" w:styleId="ListLabel101" w:customStyle="1">
    <w:name w:val="ListLabel 101"/>
    <w:qFormat w:val="1"/>
    <w:rPr>
      <w:rFonts w:cs="Courier New"/>
    </w:rPr>
  </w:style>
  <w:style w:type="character" w:styleId="ListLabel102" w:customStyle="1">
    <w:name w:val="ListLabel 102"/>
    <w:qFormat w:val="1"/>
    <w:rPr>
      <w:rFonts w:cs="Courier New"/>
    </w:rPr>
  </w:style>
  <w:style w:type="character" w:styleId="ListLabel103" w:customStyle="1">
    <w:name w:val="ListLabel 103"/>
    <w:qFormat w:val="1"/>
    <w:rPr>
      <w:rFonts w:cs="Courier New"/>
    </w:rPr>
  </w:style>
  <w:style w:type="character" w:styleId="ListLabel104" w:customStyle="1">
    <w:name w:val="ListLabel 104"/>
    <w:qFormat w:val="1"/>
    <w:rPr>
      <w:rFonts w:cs="Courier New"/>
    </w:rPr>
  </w:style>
  <w:style w:type="character" w:styleId="ListLabel105" w:customStyle="1">
    <w:name w:val="ListLabel 105"/>
    <w:qFormat w:val="1"/>
    <w:rPr>
      <w:rFonts w:cs="Courier New"/>
    </w:rPr>
  </w:style>
  <w:style w:type="character" w:styleId="ListLabel106" w:customStyle="1">
    <w:name w:val="ListLabel 106"/>
    <w:qFormat w:val="1"/>
    <w:rPr>
      <w:rFonts w:cs="Courier New"/>
    </w:rPr>
  </w:style>
  <w:style w:type="character" w:styleId="ListLabel107" w:customStyle="1">
    <w:name w:val="ListLabel 107"/>
    <w:qFormat w:val="1"/>
    <w:rPr>
      <w:color w:val="auto"/>
      <w:sz w:val="22"/>
      <w:szCs w:val="20"/>
    </w:rPr>
  </w:style>
  <w:style w:type="character" w:styleId="ListLabel108" w:customStyle="1">
    <w:name w:val="ListLabel 108"/>
    <w:qFormat w:val="1"/>
    <w:rPr>
      <w:rFonts w:cs="Symbol"/>
    </w:rPr>
  </w:style>
  <w:style w:type="character" w:styleId="ListLabel109" w:customStyle="1">
    <w:name w:val="ListLabel 109"/>
    <w:qFormat w:val="1"/>
    <w:rPr>
      <w:rFonts w:cs="Courier New"/>
    </w:rPr>
  </w:style>
  <w:style w:type="character" w:styleId="ListLabel110" w:customStyle="1">
    <w:name w:val="ListLabel 110"/>
    <w:qFormat w:val="1"/>
    <w:rPr>
      <w:rFonts w:cs="Wingdings"/>
    </w:rPr>
  </w:style>
  <w:style w:type="character" w:styleId="ListLabel111" w:customStyle="1">
    <w:name w:val="ListLabel 111"/>
    <w:qFormat w:val="1"/>
    <w:rPr>
      <w:rFonts w:cs="Symbol"/>
    </w:rPr>
  </w:style>
  <w:style w:type="character" w:styleId="ListLabel112" w:customStyle="1">
    <w:name w:val="ListLabel 112"/>
    <w:qFormat w:val="1"/>
    <w:rPr>
      <w:rFonts w:cs="Courier New"/>
    </w:rPr>
  </w:style>
  <w:style w:type="character" w:styleId="ListLabel113" w:customStyle="1">
    <w:name w:val="ListLabel 113"/>
    <w:qFormat w:val="1"/>
    <w:rPr>
      <w:rFonts w:cs="Wingdings"/>
    </w:rPr>
  </w:style>
  <w:style w:type="character" w:styleId="ListLabel114" w:customStyle="1">
    <w:name w:val="ListLabel 114"/>
    <w:qFormat w:val="1"/>
    <w:rPr>
      <w:rFonts w:cs="Symbol"/>
    </w:rPr>
  </w:style>
  <w:style w:type="character" w:styleId="ListLabel115" w:customStyle="1">
    <w:name w:val="ListLabel 115"/>
    <w:qFormat w:val="1"/>
    <w:rPr>
      <w:rFonts w:cs="Courier New"/>
    </w:rPr>
  </w:style>
  <w:style w:type="character" w:styleId="ListLabel116" w:customStyle="1">
    <w:name w:val="ListLabel 116"/>
    <w:qFormat w:val="1"/>
    <w:rPr>
      <w:rFonts w:cs="Wingdings"/>
    </w:rPr>
  </w:style>
  <w:style w:type="character" w:styleId="ListLabel117" w:customStyle="1">
    <w:name w:val="ListLabel 117"/>
    <w:qFormat w:val="1"/>
    <w:rPr>
      <w:rFonts w:cs="Symbol"/>
    </w:rPr>
  </w:style>
  <w:style w:type="character" w:styleId="ListLabel118" w:customStyle="1">
    <w:name w:val="ListLabel 118"/>
    <w:qFormat w:val="1"/>
    <w:rPr>
      <w:rFonts w:cs="Courier New"/>
    </w:rPr>
  </w:style>
  <w:style w:type="character" w:styleId="ListLabel119" w:customStyle="1">
    <w:name w:val="ListLabel 119"/>
    <w:qFormat w:val="1"/>
    <w:rPr>
      <w:rFonts w:cs="Wingdings"/>
    </w:rPr>
  </w:style>
  <w:style w:type="character" w:styleId="ListLabel120" w:customStyle="1">
    <w:name w:val="ListLabel 120"/>
    <w:qFormat w:val="1"/>
    <w:rPr>
      <w:rFonts w:cs="Symbol"/>
    </w:rPr>
  </w:style>
  <w:style w:type="character" w:styleId="ListLabel121" w:customStyle="1">
    <w:name w:val="ListLabel 121"/>
    <w:qFormat w:val="1"/>
    <w:rPr>
      <w:rFonts w:cs="Courier New"/>
    </w:rPr>
  </w:style>
  <w:style w:type="character" w:styleId="ListLabel122" w:customStyle="1">
    <w:name w:val="ListLabel 122"/>
    <w:qFormat w:val="1"/>
    <w:rPr>
      <w:rFonts w:cs="Wingdings"/>
    </w:rPr>
  </w:style>
  <w:style w:type="character" w:styleId="ListLabel123" w:customStyle="1">
    <w:name w:val="ListLabel 123"/>
    <w:qFormat w:val="1"/>
    <w:rPr>
      <w:rFonts w:cs="Symbol"/>
    </w:rPr>
  </w:style>
  <w:style w:type="character" w:styleId="ListLabel124" w:customStyle="1">
    <w:name w:val="ListLabel 124"/>
    <w:qFormat w:val="1"/>
    <w:rPr>
      <w:rFonts w:cs="Courier New"/>
    </w:rPr>
  </w:style>
  <w:style w:type="character" w:styleId="ListLabel125" w:customStyle="1">
    <w:name w:val="ListLabel 125"/>
    <w:qFormat w:val="1"/>
    <w:rPr>
      <w:rFonts w:cs="Wingdings"/>
    </w:rPr>
  </w:style>
  <w:style w:type="character" w:styleId="ListLabel126" w:customStyle="1">
    <w:name w:val="ListLabel 126"/>
    <w:qFormat w:val="1"/>
    <w:rPr>
      <w:rFonts w:cs="Symbol"/>
    </w:rPr>
  </w:style>
  <w:style w:type="character" w:styleId="ListLabel127" w:customStyle="1">
    <w:name w:val="ListLabel 127"/>
    <w:qFormat w:val="1"/>
    <w:rPr>
      <w:rFonts w:cs="Courier New"/>
    </w:rPr>
  </w:style>
  <w:style w:type="character" w:styleId="ListLabel128" w:customStyle="1">
    <w:name w:val="ListLabel 128"/>
    <w:qFormat w:val="1"/>
    <w:rPr>
      <w:rFonts w:cs="Wingdings"/>
    </w:rPr>
  </w:style>
  <w:style w:type="character" w:styleId="ListLabel129" w:customStyle="1">
    <w:name w:val="ListLabel 129"/>
    <w:qFormat w:val="1"/>
    <w:rPr>
      <w:rFonts w:cs="Symbol"/>
    </w:rPr>
  </w:style>
  <w:style w:type="character" w:styleId="ListLabel130" w:customStyle="1">
    <w:name w:val="ListLabel 130"/>
    <w:qFormat w:val="1"/>
    <w:rPr>
      <w:rFonts w:cs="Courier New"/>
    </w:rPr>
  </w:style>
  <w:style w:type="character" w:styleId="ListLabel131" w:customStyle="1">
    <w:name w:val="ListLabel 131"/>
    <w:qFormat w:val="1"/>
    <w:rPr>
      <w:rFonts w:cs="Wingdings"/>
    </w:rPr>
  </w:style>
  <w:style w:type="character" w:styleId="ListLabel132" w:customStyle="1">
    <w:name w:val="ListLabel 132"/>
    <w:qFormat w:val="1"/>
    <w:rPr>
      <w:rFonts w:cs="Symbol"/>
    </w:rPr>
  </w:style>
  <w:style w:type="character" w:styleId="ListLabel133" w:customStyle="1">
    <w:name w:val="ListLabel 133"/>
    <w:qFormat w:val="1"/>
    <w:rPr>
      <w:rFonts w:cs="Courier New"/>
    </w:rPr>
  </w:style>
  <w:style w:type="character" w:styleId="ListLabel134" w:customStyle="1">
    <w:name w:val="ListLabel 134"/>
    <w:qFormat w:val="1"/>
    <w:rPr>
      <w:rFonts w:cs="Wingdings"/>
    </w:rPr>
  </w:style>
  <w:style w:type="paragraph" w:styleId="Ttulo" w:customStyle="1">
    <w:name w:val="Título"/>
    <w:basedOn w:val="Normal"/>
    <w:next w:val="BodyText"/>
    <w:qFormat w:val="1"/>
    <w:pPr>
      <w:keepNext w:val="1"/>
      <w:spacing w:after="120" w:before="24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val="1"/>
    <w:pPr>
      <w:suppressLineNumbers w:val="1"/>
      <w:spacing w:after="120" w:before="120"/>
    </w:pPr>
    <w:rPr>
      <w:i w:val="1"/>
      <w:iCs w:val="1"/>
    </w:rPr>
  </w:style>
  <w:style w:type="paragraph" w:styleId="ndice" w:customStyle="1">
    <w:name w:val="Índice"/>
    <w:basedOn w:val="Normal"/>
    <w:qFormat w:val="1"/>
    <w:pPr>
      <w:suppressLineNumbers w:val="1"/>
    </w:pPr>
  </w:style>
  <w:style w:type="paragraph" w:styleId="Header">
    <w:name w:val="header"/>
    <w:basedOn w:val="Normal"/>
    <w:link w:val="HeaderChar"/>
    <w:rsid w:val="00426182"/>
    <w:pPr>
      <w:tabs>
        <w:tab w:val="center" w:pos="4320"/>
        <w:tab w:val="right" w:pos="8640"/>
      </w:tabs>
    </w:pPr>
  </w:style>
  <w:style w:type="paragraph" w:styleId="Footer">
    <w:name w:val="footer"/>
    <w:basedOn w:val="Normal"/>
    <w:link w:val="FooterChar"/>
    <w:uiPriority w:val="99"/>
    <w:rsid w:val="00426182"/>
    <w:pPr>
      <w:tabs>
        <w:tab w:val="center" w:pos="4320"/>
        <w:tab w:val="right" w:pos="8640"/>
      </w:tabs>
    </w:pPr>
  </w:style>
  <w:style w:type="paragraph" w:styleId="EYNormal" w:customStyle="1">
    <w:name w:val="EY Normal"/>
    <w:qFormat w:val="1"/>
    <w:rsid w:val="008C6C6D"/>
    <w:pPr>
      <w:suppressAutoHyphens w:val="1"/>
    </w:pPr>
    <w:rPr>
      <w:kern w:val="2"/>
      <w:sz w:val="24"/>
    </w:rPr>
  </w:style>
  <w:style w:type="paragraph" w:styleId="EYBodytextnoparaspace" w:customStyle="1">
    <w:name w:val="EY Body text (no para space)"/>
    <w:basedOn w:val="EYNormal"/>
    <w:qFormat w:val="1"/>
    <w:rsid w:val="006B1A73"/>
    <w:pPr>
      <w:tabs>
        <w:tab w:val="left" w:pos="907"/>
      </w:tabs>
      <w:spacing w:line="260" w:lineRule="atLeast"/>
    </w:pPr>
  </w:style>
  <w:style w:type="paragraph" w:styleId="EYBoldsubjectheading" w:customStyle="1">
    <w:name w:val="EY Bold subject heading"/>
    <w:basedOn w:val="EYNormal"/>
    <w:qFormat w:val="1"/>
    <w:rsid w:val="000D1959"/>
    <w:pPr>
      <w:spacing w:before="540" w:line="260" w:lineRule="atLeast"/>
    </w:pPr>
    <w:rPr>
      <w:b w:val="1"/>
      <w:sz w:val="26"/>
    </w:rPr>
  </w:style>
  <w:style w:type="paragraph" w:styleId="EYClosure" w:customStyle="1">
    <w:name w:val="EY Closure"/>
    <w:basedOn w:val="EYBodytextnoparaspace"/>
    <w:next w:val="EYBodytextnoparaspace"/>
    <w:qFormat w:val="1"/>
    <w:rsid w:val="00F93BBB"/>
    <w:pPr>
      <w:spacing w:after="260"/>
    </w:pPr>
  </w:style>
  <w:style w:type="paragraph" w:styleId="EYFooterinfo" w:customStyle="1">
    <w:name w:val="EY Footer info"/>
    <w:qFormat w:val="1"/>
    <w:rsid w:val="002C491D"/>
    <w:pPr>
      <w:spacing w:line="130" w:lineRule="exact"/>
    </w:pPr>
    <w:rPr>
      <w:color w:val="808080"/>
      <w:kern w:val="2"/>
      <w:sz w:val="11"/>
    </w:rPr>
  </w:style>
  <w:style w:type="paragraph" w:styleId="EYContinuationheader" w:customStyle="1">
    <w:name w:val="EY Continuation header"/>
    <w:basedOn w:val="EYBodytextnoparaspace"/>
    <w:qFormat w:val="1"/>
    <w:rsid w:val="00BB456C"/>
    <w:pPr>
      <w:tabs>
        <w:tab w:val="clear" w:pos="907"/>
        <w:tab w:val="left" w:pos="2495"/>
      </w:tabs>
      <w:jc w:val="right"/>
    </w:pPr>
  </w:style>
  <w:style w:type="paragraph" w:styleId="EYBusinessaddress" w:customStyle="1">
    <w:name w:val="EY Business address"/>
    <w:basedOn w:val="EYNormal"/>
    <w:qFormat w:val="1"/>
    <w:rsid w:val="002C491D"/>
    <w:pPr>
      <w:spacing w:line="170" w:lineRule="atLeast"/>
    </w:pPr>
    <w:rPr>
      <w:color w:val="808080"/>
      <w:sz w:val="15"/>
    </w:rPr>
  </w:style>
  <w:style w:type="paragraph" w:styleId="EYDocumenttitle" w:customStyle="1">
    <w:name w:val="EY Document title"/>
    <w:basedOn w:val="EYBodytextnoparaspace"/>
    <w:next w:val="EYBodytextnoparaspace"/>
    <w:qFormat w:val="1"/>
    <w:rsid w:val="0036047F"/>
    <w:pPr>
      <w:tabs>
        <w:tab w:val="clear" w:pos="907"/>
      </w:tabs>
      <w:spacing w:line="240" w:lineRule="auto"/>
    </w:pPr>
    <w:rPr>
      <w:spacing w:val="-4"/>
      <w:sz w:val="36"/>
    </w:rPr>
  </w:style>
  <w:style w:type="paragraph" w:styleId="EYDocumentprompts" w:customStyle="1">
    <w:name w:val="EY Document prompts"/>
    <w:basedOn w:val="EYNormal"/>
    <w:qFormat w:val="1"/>
    <w:rsid w:val="000B5D7A"/>
    <w:pPr>
      <w:spacing w:after="80" w:line="260" w:lineRule="exact"/>
    </w:pPr>
  </w:style>
  <w:style w:type="paragraph" w:styleId="EYBodytextwithparaspace" w:customStyle="1">
    <w:name w:val="EY Body text (with para space)"/>
    <w:basedOn w:val="EYBodytextnoparaspace"/>
    <w:link w:val="EYBodytextwithparaspaceChar"/>
    <w:qFormat w:val="1"/>
    <w:rsid w:val="000B5D7A"/>
    <w:pPr>
      <w:spacing w:after="260"/>
    </w:pPr>
  </w:style>
  <w:style w:type="paragraph" w:styleId="EYDate" w:customStyle="1">
    <w:name w:val="EY Date"/>
    <w:basedOn w:val="EYDocumentprompts"/>
    <w:qFormat w:val="1"/>
    <w:rsid w:val="000B5D7A"/>
    <w:pPr>
      <w:spacing w:after="0"/>
    </w:pPr>
  </w:style>
  <w:style w:type="paragraph" w:styleId="EYBulletedtext1" w:customStyle="1">
    <w:name w:val="EY Bulleted text 1"/>
    <w:basedOn w:val="Normal"/>
    <w:link w:val="EYBulletedtext1Char"/>
    <w:qFormat w:val="1"/>
    <w:rsid w:val="008C0538"/>
    <w:pPr>
      <w:suppressAutoHyphens w:val="1"/>
      <w:spacing w:line="260" w:lineRule="exact"/>
    </w:pPr>
    <w:rPr>
      <w:kern w:val="2"/>
    </w:rPr>
  </w:style>
  <w:style w:type="paragraph" w:styleId="EYBulletedtext2" w:customStyle="1">
    <w:name w:val="EY Bulleted text 2"/>
    <w:basedOn w:val="Normal"/>
    <w:qFormat w:val="1"/>
    <w:rsid w:val="008C0538"/>
    <w:pPr>
      <w:suppressAutoHyphens w:val="1"/>
      <w:spacing w:line="260" w:lineRule="exact"/>
    </w:pPr>
    <w:rPr>
      <w:kern w:val="2"/>
    </w:rPr>
  </w:style>
  <w:style w:type="paragraph" w:styleId="EYBusinessaddressbold" w:customStyle="1">
    <w:name w:val="EY Business address (bold)"/>
    <w:basedOn w:val="EYBusinessaddress"/>
    <w:next w:val="EYBusinessaddress"/>
    <w:qFormat w:val="1"/>
    <w:rsid w:val="00D70E34"/>
    <w:rPr>
      <w:b w:val="1"/>
    </w:rPr>
  </w:style>
  <w:style w:type="paragraph" w:styleId="BalloonText">
    <w:name w:val="Balloon Text"/>
    <w:basedOn w:val="Normal"/>
    <w:link w:val="BalloonTextChar"/>
    <w:qFormat w:val="1"/>
    <w:rsid w:val="00B579A4"/>
    <w:rPr>
      <w:rFonts w:ascii="Tahoma" w:cs="Tahoma" w:hAnsi="Tahoma"/>
      <w:sz w:val="16"/>
      <w:szCs w:val="16"/>
    </w:rPr>
  </w:style>
  <w:style w:type="paragraph" w:styleId="bullet" w:customStyle="1">
    <w:name w:val="bullet"/>
    <w:basedOn w:val="EYBodytextwithparaspace"/>
    <w:qFormat w:val="1"/>
    <w:rsid w:val="001235F7"/>
    <w:pPr>
      <w:tabs>
        <w:tab w:val="clear" w:pos="907"/>
        <w:tab w:val="left" w:pos="270"/>
        <w:tab w:val="left" w:pos="720"/>
      </w:tabs>
      <w:spacing w:after="0"/>
      <w:ind w:left="274" w:hanging="274"/>
    </w:pPr>
  </w:style>
  <w:style w:type="paragraph" w:styleId="Default" w:customStyle="1">
    <w:name w:val="Default"/>
    <w:qFormat w:val="1"/>
    <w:rsid w:val="008D6D41"/>
    <w:pPr>
      <w:widowControl w:val="0"/>
      <w:spacing w:after="200" w:line="276" w:lineRule="auto"/>
    </w:pPr>
    <w:rPr>
      <w:color w:val="000000"/>
      <w:sz w:val="24"/>
      <w:lang w:eastAsia="es-ES" w:val="es-ES"/>
    </w:rPr>
  </w:style>
  <w:style w:type="paragraph" w:styleId="ListParagraph">
    <w:name w:val="List Paragraph"/>
    <w:basedOn w:val="Normal"/>
    <w:uiPriority w:val="34"/>
    <w:qFormat w:val="1"/>
    <w:rsid w:val="002217C8"/>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Texto" w:customStyle="1">
    <w:name w:val="Texto"/>
    <w:basedOn w:val="Normal"/>
    <w:uiPriority w:val="99"/>
    <w:qFormat w:val="1"/>
    <w:rsid w:val="00D24F19"/>
    <w:pPr>
      <w:suppressAutoHyphens w:val="1"/>
      <w:spacing w:after="120" w:before="120"/>
      <w:jc w:val="both"/>
    </w:pPr>
    <w:rPr>
      <w:rFonts w:cs="Times New Roman" w:eastAsia="Droid Sans Fallback"/>
      <w:bCs w:val="1"/>
      <w:kern w:val="2"/>
      <w:sz w:val="22"/>
      <w:szCs w:val="22"/>
      <w:lang w:bidi="hi-IN" w:eastAsia="zh-CN"/>
    </w:rPr>
  </w:style>
  <w:style w:type="table" w:styleId="TableGrid">
    <w:name w:val="Table Grid"/>
    <w:basedOn w:val="TableNormal"/>
    <w:uiPriority w:val="39"/>
    <w:rsid w:val="000D195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2E1DB2"/>
    <w:rPr>
      <w:sz w:val="24"/>
    </w:rPr>
  </w:style>
  <w:style w:type="character" w:styleId="CommentReference">
    <w:name w:val="annotation reference"/>
    <w:basedOn w:val="DefaultParagraphFont"/>
    <w:uiPriority w:val="99"/>
    <w:semiHidden w:val="1"/>
    <w:unhideWhenUsed w:val="1"/>
    <w:rsid w:val="002E1DB2"/>
    <w:rPr>
      <w:sz w:val="16"/>
      <w:szCs w:val="16"/>
    </w:rPr>
  </w:style>
  <w:style w:type="paragraph" w:styleId="CommentText">
    <w:name w:val="annotation text"/>
    <w:basedOn w:val="Normal"/>
    <w:link w:val="CommentTextChar"/>
    <w:uiPriority w:val="99"/>
    <w:semiHidden w:val="1"/>
    <w:unhideWhenUsed w:val="1"/>
    <w:rsid w:val="002E1DB2"/>
  </w:style>
  <w:style w:type="character" w:styleId="CommentTextChar" w:customStyle="1">
    <w:name w:val="Comment Text Char"/>
    <w:basedOn w:val="DefaultParagraphFont"/>
    <w:link w:val="CommentText"/>
    <w:uiPriority w:val="99"/>
    <w:semiHidden w:val="1"/>
    <w:rsid w:val="002E1DB2"/>
    <w:rPr>
      <w:szCs w:val="20"/>
    </w:rPr>
  </w:style>
  <w:style w:type="paragraph" w:styleId="CommentSubject">
    <w:name w:val="annotation subject"/>
    <w:basedOn w:val="CommentText"/>
    <w:next w:val="CommentText"/>
    <w:link w:val="CommentSubjectChar"/>
    <w:uiPriority w:val="99"/>
    <w:semiHidden w:val="1"/>
    <w:unhideWhenUsed w:val="1"/>
    <w:rsid w:val="002E1DB2"/>
    <w:rPr>
      <w:b w:val="1"/>
      <w:bCs w:val="1"/>
    </w:rPr>
  </w:style>
  <w:style w:type="character" w:styleId="CommentSubjectChar" w:customStyle="1">
    <w:name w:val="Comment Subject Char"/>
    <w:basedOn w:val="CommentTextChar"/>
    <w:link w:val="CommentSubject"/>
    <w:uiPriority w:val="99"/>
    <w:semiHidden w:val="1"/>
    <w:rsid w:val="002E1DB2"/>
    <w:rPr>
      <w:b w:val="1"/>
      <w:bCs w:val="1"/>
      <w:szCs w:val="20"/>
    </w:rPr>
  </w:style>
  <w:style w:type="table" w:styleId="a" w:customStyle="1">
    <w:basedOn w:val="TableNormal"/>
    <w:tblPr>
      <w:tblStyleRowBandSize w:val="1"/>
      <w:tblStyleColBandSize w:val="1"/>
      <w:tblCellMar>
        <w:left w:w="57.0" w:type="dxa"/>
        <w:right w:w="57.0" w:type="dxa"/>
      </w:tblCellMar>
    </w:tblPr>
  </w:style>
  <w:style w:type="table" w:styleId="a0" w:customStyle="1">
    <w:basedOn w:val="TableNormal"/>
    <w:tblPr>
      <w:tblStyleRowBandSize w:val="1"/>
      <w:tblStyleColBandSize w:val="1"/>
      <w:tblCellMar>
        <w:top w:w="57.0" w:type="dxa"/>
        <w:left w:w="115.0" w:type="dxa"/>
        <w:bottom w:w="57.0" w:type="dxa"/>
        <w:right w:w="115.0" w:type="dxa"/>
      </w:tblCellMar>
    </w:tblPr>
  </w:style>
  <w:style w:type="table" w:styleId="a1" w:customStyle="1">
    <w:basedOn w:val="TableNormal"/>
    <w:tblPr>
      <w:tblStyleRowBandSize w:val="1"/>
      <w:tblStyleColBandSize w:val="1"/>
      <w:tblCellMar>
        <w:left w:w="113.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13.0" w:type="dxa"/>
        <w:bottom w:w="57.0" w:type="dxa"/>
        <w:right w:w="115.0" w:type="dxa"/>
      </w:tblCellMar>
    </w:tblPr>
  </w:style>
  <w:style w:type="table" w:styleId="Table2">
    <w:basedOn w:val="TableNormal"/>
    <w:tblPr>
      <w:tblStyleRowBandSize w:val="1"/>
      <w:tblStyleColBandSize w:val="1"/>
      <w:tblCellMar>
        <w:top w:w="57.0" w:type="dxa"/>
        <w:left w:w="113.0" w:type="dxa"/>
        <w:bottom w:w="57.0" w:type="dxa"/>
        <w:right w:w="115.0" w:type="dxa"/>
      </w:tblCellMar>
    </w:tblPr>
  </w:style>
  <w:style w:type="table" w:styleId="Table3">
    <w:basedOn w:val="TableNormal"/>
    <w:tblPr>
      <w:tblStyleRowBandSize w:val="1"/>
      <w:tblStyleColBandSize w:val="1"/>
      <w:tblCellMar>
        <w:top w:w="57.0" w:type="dxa"/>
        <w:left w:w="113.0" w:type="dxa"/>
        <w:bottom w:w="57.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13.0" w:type="dxa"/>
        <w:bottom w:w="57.0" w:type="dxa"/>
        <w:right w:w="115.0" w:type="dxa"/>
      </w:tblCellMar>
    </w:tblPr>
  </w:style>
  <w:style w:type="table" w:styleId="Table2">
    <w:basedOn w:val="TableNormal"/>
    <w:tblPr>
      <w:tblStyleRowBandSize w:val="1"/>
      <w:tblStyleColBandSize w:val="1"/>
      <w:tblCellMar>
        <w:top w:w="57.0" w:type="dxa"/>
        <w:left w:w="113.0" w:type="dxa"/>
        <w:bottom w:w="57.0" w:type="dxa"/>
        <w:right w:w="115.0" w:type="dxa"/>
      </w:tblCellMar>
    </w:tblPr>
  </w:style>
  <w:style w:type="table" w:styleId="Table3">
    <w:basedOn w:val="TableNormal"/>
    <w:tblPr>
      <w:tblStyleRowBandSize w:val="1"/>
      <w:tblStyleColBandSize w:val="1"/>
      <w:tblCellMar>
        <w:top w:w="57.0" w:type="dxa"/>
        <w:left w:w="113.0" w:type="dxa"/>
        <w:bottom w:w="57.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EY light print">
      <a:dk1>
        <a:srgbClr val="000000"/>
      </a:dk1>
      <a:lt1>
        <a:srgbClr val="646464"/>
      </a:lt1>
      <a:dk2>
        <a:srgbClr val="FFFFFF"/>
      </a:dk2>
      <a:lt2>
        <a:srgbClr val="646464"/>
      </a:lt2>
      <a:accent1>
        <a:srgbClr val="808080"/>
      </a:accent1>
      <a:accent2>
        <a:srgbClr val="FFE600"/>
      </a:accent2>
      <a:accent3>
        <a:srgbClr val="999999"/>
      </a:accent3>
      <a:accent4>
        <a:srgbClr val="F0F0F0"/>
      </a:accent4>
      <a:accent5>
        <a:srgbClr val="00A3AE"/>
      </a:accent5>
      <a:accent6>
        <a:srgbClr val="C0C0C0"/>
      </a:accent6>
      <a:hlink>
        <a:srgbClr val="336699"/>
      </a:hlink>
      <a:folHlink>
        <a:srgbClr val="9127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EY colors">
        <a:dk1>
          <a:srgbClr val="000000"/>
        </a:dk1>
        <a:lt1>
          <a:srgbClr val="646464"/>
        </a:lt1>
        <a:dk2>
          <a:srgbClr val="FFFFFF"/>
        </a:dk2>
        <a:lt2>
          <a:srgbClr val="646464"/>
        </a:lt2>
        <a:accent1>
          <a:srgbClr val="808080"/>
        </a:accent1>
        <a:accent2>
          <a:srgbClr val="FFE600"/>
        </a:accent2>
        <a:accent3>
          <a:srgbClr val="999999"/>
        </a:accent3>
        <a:accent4>
          <a:srgbClr val="F0F0F0"/>
        </a:accent4>
        <a:accent5>
          <a:srgbClr val="00A3AE"/>
        </a:accent5>
        <a:accent6>
          <a:srgbClr val="C0C0C0"/>
        </a:accent6>
        <a:hlink>
          <a:srgbClr val="336699"/>
        </a:hlink>
        <a:folHlink>
          <a:srgbClr val="91278F"/>
        </a:folHlink>
      </a:clrScheme>
      <a:clrMap bg1="lt1" tx1="dk1" bg2="lt2" tx2="dk2" accent1="accent1" accent2="accent2" accent3="accent3" accent4="accent4" accent5="accent5" accent6="accent6" hlink="hlink" folHlink="folHlink"/>
    </a:extraClrScheme>
  </a:extraClrSchemeLst>
  <a:custClrLst>
    <a:custClr name="EY Special Use Red">
      <a:srgbClr val="F04C3E"/>
    </a:custClr>
    <a:custClr name="EY Special Use Blue 50%">
      <a:srgbClr val="7FD1D6"/>
    </a:custClr>
    <a:custClr name="EY Special Use Purple">
      <a:srgbClr val="91278F"/>
    </a:custClr>
    <a:custClr name="EY Special Use Purple 50%">
      <a:srgbClr val="C893C7"/>
    </a:custClr>
    <a:custClr name="EY Special Use Green">
      <a:srgbClr val="2C973E"/>
    </a:custClr>
    <a:custClr name="EY Special Use Green 50%">
      <a:srgbClr val="95CB89"/>
    </a:custClr>
    <a:custClr name="EY Yellow 50%">
      <a:srgbClr val="FFF27F"/>
    </a:custClr>
    <a:custClr name="EY Special Use Lilac">
      <a:srgbClr val="AC98DB"/>
    </a:custClr>
    <a:custClr name="EY Special Use Lilac 50%">
      <a:srgbClr val="D8D2E0"/>
    </a:custClr>
    <a:custClr name="EY Link Blue">
      <a:srgbClr val="3366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raR7ycSJklCsXMqeL+PQoRLOxA==">AMUW2mXjXoGEAxlrd8fs0nX6ufUBpkWUxxbp4LC9J5VChjulYXc9uHaH6MWxIpv+n0vZMt54pCAW72UUhidkNrizdDxJtIDevxBlx8ENn3Mdm7P2gWr7IJE=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2021-11-24T19:02:00Z</dcterms:created>
  <dc:creator>JJR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